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332-10q_gdculture.htm"/>
      <w:bookmarkStart w:id="1" w:name="ksea030133210q_gdcultur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 to _________</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001-37513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GD CULTURE GROUP LIMITED</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47-3709051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0" w:type="dxa"/>
          <w:right w:w="0" w:type="dxa"/>
        </w:tblCellMar>
      </w:tblPr>
      <w:tblGrid>
        <w:gridCol w:w="3215"/>
        <w:gridCol w:w="60"/>
        <w:gridCol w:w="920"/>
      </w:tblGrid>
      <w:tr>
        <w:trPr/>
        <w:tc>
          <w:tcPr>
            <w:tcW w:w="321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111 Town Square Place, Suite #1203</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2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Jersey City, NJ</w:t>
            </w:r>
          </w:p>
        </w:tc>
        <w:tc>
          <w:tcPr>
            <w:tcW w:w="60" w:type="dxa"/>
            <w:tcBorders/>
            <w:shd w:fill="FFFFFF" w:val="clear"/>
            <w:vAlign w:val="center"/>
          </w:tcPr>
          <w:p>
            <w:pPr>
              <w:pStyle w:val="TableContents"/>
              <w:bidi w:val="0"/>
              <w:spacing w:before="0" w:after="283"/>
              <w:jc w:val="center"/>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07310</w:t>
            </w:r>
          </w:p>
        </w:tc>
      </w:tr>
      <w:tr>
        <w:trPr/>
        <w:tc>
          <w:tcPr>
            <w:tcW w:w="32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+1-347- 2590292</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95" w:type="dxa"/>
        <w:jc w:val="left"/>
        <w:tblInd w:w="0" w:type="dxa"/>
        <w:shd w:fill="FFFFFF" w:val="clear"/>
        <w:tblLayout w:type="fixed"/>
        <w:tblCellMar>
          <w:top w:w="0" w:type="dxa"/>
          <w:left w:w="0" w:type="dxa"/>
          <w:bottom w:w="28" w:type="dxa"/>
          <w:right w:w="0" w:type="dxa"/>
        </w:tblCellMar>
      </w:tblPr>
      <w:tblGrid>
        <w:gridCol w:w="2855"/>
        <w:gridCol w:w="60"/>
        <w:gridCol w:w="1610"/>
        <w:gridCol w:w="60"/>
        <w:gridCol w:w="3710"/>
      </w:tblGrid>
      <w:tr>
        <w:trPr/>
        <w:tc>
          <w:tcPr>
            <w:tcW w:w="28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GDC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hd w:fill="FFFFFF" w:val="clear"/>
        <w:bidi w:val="0"/>
        <w:spacing w:before="0" w:after="0"/>
        <w:ind w:left="154"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 No ☐ </w:t>
      </w:r>
    </w:p>
    <w:p>
      <w:pPr>
        <w:pStyle w:val="TextBody"/>
        <w:shd w:fill="FFFFFF" w:val="clear"/>
        <w:bidi w:val="0"/>
        <w:spacing w:before="0" w:after="0"/>
        <w:ind w:left="154"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535" w:type="dxa"/>
        <w:jc w:val="left"/>
        <w:tblInd w:w="0" w:type="dxa"/>
        <w:shd w:fill="FFFFFF" w:val="clear"/>
        <w:tblLayout w:type="fixed"/>
        <w:tblCellMar>
          <w:top w:w="0" w:type="dxa"/>
          <w:left w:w="0" w:type="dxa"/>
          <w:bottom w:w="0" w:type="dxa"/>
          <w:right w:w="0" w:type="dxa"/>
        </w:tblCellMar>
      </w:tblPr>
      <w:tblGrid>
        <w:gridCol w:w="1835"/>
        <w:gridCol w:w="230"/>
        <w:gridCol w:w="2225"/>
        <w:gridCol w:w="24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shd w:fill="FFFFFF" w:val="clear"/>
            <w:vAlign w:val="center"/>
          </w:tcPr>
          <w:p>
            <w:pPr>
              <w:pStyle w:val="TableContents"/>
              <w:bidi w:val="0"/>
              <w:spacing w:before="0" w:after="283"/>
              <w:jc w:val="left"/>
              <w:rPr/>
            </w:pPr>
            <w:r>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shd w:fill="FFFF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30" w:type="dxa"/>
            <w:tcBorders/>
            <w:shd w:fill="FFFFFF" w:val="clear"/>
            <w:vAlign w:val="center"/>
          </w:tcPr>
          <w:p>
            <w:pPr>
              <w:pStyle w:val="TableContents"/>
              <w:bidi w:val="0"/>
              <w:spacing w:before="0" w:after="283"/>
              <w:jc w:val="left"/>
              <w:rPr/>
            </w:pPr>
            <w:r>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shd w:fill="FFFF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154"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14, 2026, there were 4,162,500 shares of the Company’s common stock issued and outstanding.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822"/>
        <w:gridCol w:w="8882"/>
        <w:gridCol w:w="501"/>
      </w:tblGrid>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w:t>
            </w:r>
          </w:p>
        </w:tc>
        <w:tc>
          <w:tcPr>
            <w:tcW w:w="8882"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INFORMATION</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882"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882"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MANAGEMENT’S DISCUSSION AND ANALYSIS OF FINANCIAL CONDITION AND RESULTS OF OPERATIONS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882"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QUANTITATIVE AND QUALITATIVE DISCLOSURES ABOUT MARKET RISK</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882"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CONTROLS AND PROCEDURES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II.</w:t>
            </w:r>
          </w:p>
        </w:tc>
        <w:tc>
          <w:tcPr>
            <w:tcW w:w="8882"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OTHER INFORMATION</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882"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882"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RISK FACTORS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882"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UNREGISTERED SALES OF EQUITY SECURITIES AND USE OF PROCEEDS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882"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DEFAULTS UPON SENIOR SECURITIES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882"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MINE SAFETY DISCLOSURES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882"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OTHER INFORMATION</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822" w:type="dxa"/>
            <w:tcBorders/>
            <w:shd w:fill="FFFFFF" w:val="clear"/>
            <w:vAlign w:val="center"/>
          </w:tcPr>
          <w:p>
            <w:pPr>
              <w:pStyle w:val="TableContents"/>
              <w:bidi w:val="0"/>
              <w:spacing w:before="0" w:after="283"/>
              <w:jc w:val="left"/>
              <w:rPr/>
            </w:pPr>
            <w:r>
              <w:rPr/>
              <w:t> </w:t>
            </w:r>
          </w:p>
        </w:tc>
        <w:tc>
          <w:tcPr>
            <w:tcW w:w="888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r>
      <w:tr>
        <w:trPr/>
        <w:tc>
          <w:tcPr>
            <w:tcW w:w="8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882"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EXHIBITS</w:t>
              </w:r>
            </w:hyperlink>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statements that may be deemed to be “forward-looking statements” within the meaning of the federal securities laws. These statements relate to anticipated future events, future results of operations and or future financial performance. In some cases, you can identify forward-looking statements by their use of terminology such as “anticipate,” “believe,” “could,” “estimate,” “expect,” “future,” “intend,” “may,” “ought to,” “plan,” “possible,” “potentially,” “predicts,” “project,” “should,” “will,” “would,” negatives of such terms or other similar terms. These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 forward-looking statements in this Quarterly Report on Form 10-Q include, without limitation, statements relating to:</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results of operations and financial condition;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expenses, future revenues, capital requirements and our need for additional financing;</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the market opportunity for our services;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government laws and regulations;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recruit and retain qualified personnel;</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comply with regulatory guidelines;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uncertainty in industry demand;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market conditions in the financial services industry;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large blocks or our securities, which may adversely impact our share price;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depth of the trading market in our securities.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list is not intended to be an exhaustive list of all of our forward-looking statements. Forward-looking statements reflect our current views with respect to future events and are based on assumptions and subject to risks and uncertainties, including those described in Item 1A “Risk Factors” of our Annual Report on Form 10-K for the fiscal year ended December 31, 2025 and elsewhere in this Quarterly Report on Form 10-Q.</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unduly rely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Quarterly Report on Form 10-Q, to conform these statements to actual results or to changes in our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 (UNAUDITED)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 AND SUPPLEMENTARY DATA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9527"/>
        <w:gridCol w:w="60"/>
        <w:gridCol w:w="618"/>
      </w:tblGrid>
      <w:tr>
        <w:trPr/>
        <w:tc>
          <w:tcPr>
            <w:tcW w:w="9527"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Financial Statements:</w:t>
            </w:r>
          </w:p>
        </w:tc>
        <w:tc>
          <w:tcPr>
            <w:tcW w:w="6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ind w:left="0" w:right="0" w:hanging="180"/>
              <w:jc w:val="center"/>
              <w:rPr/>
            </w:pPr>
            <w:r>
              <w:rPr/>
              <w:t> </w:t>
            </w:r>
          </w:p>
        </w:tc>
      </w:tr>
      <w:tr>
        <w:trPr/>
        <w:tc>
          <w:tcPr>
            <w:tcW w:w="9527" w:type="dxa"/>
            <w:tcBorders/>
            <w:shd w:fill="FFFF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Consolidated Balance Sheets as of June 30, 2026 (unaudited) and December 31, 2025</w:t>
              </w:r>
            </w:hyperlink>
          </w:p>
        </w:tc>
        <w:tc>
          <w:tcPr>
            <w:tcW w:w="60"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F-1</w:t>
            </w:r>
          </w:p>
        </w:tc>
      </w:tr>
      <w:tr>
        <w:trPr/>
        <w:tc>
          <w:tcPr>
            <w:tcW w:w="9527"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Unaudited Interim Condensed Consolidated Statements of Operations and Comprehensive Loss for the Three and Six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527" w:type="dxa"/>
            <w:tcBorders/>
            <w:shd w:fill="FFFF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Unaudited Interim Condensed Consolidated Statements of Changes in Shareholders’ Equity (Deficit) for the Three and Six Months Ended June 30, 2026 and 2025</w:t>
              </w:r>
            </w:hyperlink>
          </w:p>
        </w:tc>
        <w:tc>
          <w:tcPr>
            <w:tcW w:w="60"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 – F-4</w:t>
            </w:r>
          </w:p>
        </w:tc>
      </w:tr>
      <w:tr>
        <w:trPr/>
        <w:tc>
          <w:tcPr>
            <w:tcW w:w="9527"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Unaudited Interim Condensed Consolidated Statements of Cash Flows for the Six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527" w:type="dxa"/>
            <w:tcBorders/>
            <w:shd w:fill="FFFF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Notes to Unaudited Interim Condensed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GD CULTURE GROUP LIMITED AND ITS SUBSIDIARIES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1"/>
        <w:gridCol w:w="60"/>
        <w:gridCol w:w="140"/>
        <w:gridCol w:w="1295"/>
        <w:gridCol w:w="95"/>
        <w:gridCol w:w="60"/>
        <w:gridCol w:w="140"/>
        <w:gridCol w:w="1295"/>
        <w:gridCol w:w="89"/>
      </w:tblGrid>
      <w:tr>
        <w:trPr/>
        <w:tc>
          <w:tcPr>
            <w:tcW w:w="70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89" w:type="dxa"/>
            <w:tcBorders/>
            <w:vAlign w:val="center"/>
          </w:tcPr>
          <w:p>
            <w:pPr>
              <w:pStyle w:val="TableContents"/>
              <w:bidi w:val="0"/>
              <w:spacing w:before="0" w:after="283"/>
              <w:jc w:val="left"/>
              <w:rPr/>
            </w:pPr>
            <w:r>
              <w:rPr/>
              <w:t> </w:t>
            </w:r>
          </w:p>
        </w:tc>
      </w:tr>
      <w:tr>
        <w:trPr/>
        <w:tc>
          <w:tcPr>
            <w:tcW w:w="70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r>
      <w:tr>
        <w:trPr/>
        <w:tc>
          <w:tcPr>
            <w:tcW w:w="70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r>
      <w:tr>
        <w:trPr/>
        <w:tc>
          <w:tcPr>
            <w:tcW w:w="7031" w:type="dxa"/>
            <w:tcBorders/>
            <w:vAlign w:val="center"/>
          </w:tcPr>
          <w:p>
            <w:pPr>
              <w:pStyle w:val="TableContents"/>
              <w:bidi w:val="0"/>
              <w:spacing w:before="0" w:after="283"/>
              <w:jc w:val="center"/>
              <w:rPr>
                <w:u w:val="single"/>
              </w:rPr>
            </w:pPr>
            <w:r>
              <w:rPr>
                <w:u w:val="single"/>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r>
      <w:tr>
        <w:trPr/>
        <w:tc>
          <w:tcPr>
            <w:tcW w:w="70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7,219,580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456,041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21,486,599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41,803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9,059,363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331,588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37,765,542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829,432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3,477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844,000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987,988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10,341,378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5,090,238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250,740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451,232,439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662,996,878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461,824,557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668,337,856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500,434,875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670,158,753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center"/>
              <w:rPr>
                <w:u w:val="single"/>
              </w:rPr>
            </w:pPr>
            <w:r>
              <w:rPr>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608,015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507,745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Other payables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165,016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Lease liabilities -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371,885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353,648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203,489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187,995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1,200,135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1,214,404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Lease liabilities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607,512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781,216</w:t>
            </w:r>
          </w:p>
        </w:tc>
        <w:tc>
          <w:tcPr>
            <w:tcW w:w="89" w:type="dxa"/>
            <w:tcBorders/>
            <w:shd w:fill="FFFFFF" w:val="clear"/>
            <w:vAlign w:val="center"/>
          </w:tcPr>
          <w:p>
            <w:pPr>
              <w:pStyle w:val="TableContents"/>
              <w:bidi w:val="0"/>
              <w:spacing w:before="0" w:after="283"/>
              <w:jc w:val="left"/>
              <w:rPr/>
            </w:pPr>
            <w:r>
              <w:rPr/>
              <w:t> </w:t>
            </w:r>
          </w:p>
        </w:tc>
      </w:tr>
      <w:tr>
        <w:trPr/>
        <w:tc>
          <w:tcPr>
            <w:tcW w:w="7031" w:type="dxa"/>
            <w:tcBorders/>
            <w:shd w:fill="CCEEFF" w:val="clear"/>
            <w:vAlign w:val="center"/>
          </w:tcPr>
          <w:p>
            <w:pPr>
              <w:pStyle w:val="TableContents"/>
              <w:bidi w:val="0"/>
              <w:spacing w:before="0" w:after="283"/>
              <w:jc w:val="left"/>
              <w:rPr/>
            </w:pPr>
            <w:r>
              <w:rPr/>
              <w:t>Loan from a shareholder –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19,199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20,988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Total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802,204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1,926,846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2,016,608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$0.0001 par value, 4,000,000 shares authorized, no shares issued and outstanding as of June 30, 2026 and December 31, 2025</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$0.0001 par value, 40,000,000 shares authorized, 4,162,500 and 229,278 shares issued and outstanding as of June 30, 2026 and December 31, 2025, respectively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Additional paid-in capital</w:t>
            </w:r>
            <w:r>
              <w:rPr>
                <w:position w:val="8"/>
                <w:sz w:val="19"/>
              </w:rPr>
              <w:t xml:space="preserv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984,365,735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937,776,239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(486,295,107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(270,071,082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031"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152,654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152,627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Total GD Culture Group Limited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498,223,698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667,857,807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284,331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284,338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031"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498,508,029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668,142,145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031"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500,434,875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670,158,753</w:t>
            </w:r>
          </w:p>
        </w:tc>
        <w:tc>
          <w:tcPr>
            <w:tcW w:w="89"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On June 29, 2026, the Company effected a 1-for-250 reverse stock split. All share and per share amounts presented in these unaudited interim condensed consolidated financial statements have been retroactively adjusted to give effect to the reverse stock split.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GD CULTURE GROUP LIMITED AND ITS SUBSIDIARIES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OPERATIONS AND COMPREHENSIVE LOSS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9"/>
        <w:gridCol w:w="60"/>
        <w:gridCol w:w="146"/>
        <w:gridCol w:w="1228"/>
        <w:gridCol w:w="99"/>
        <w:gridCol w:w="62"/>
        <w:gridCol w:w="146"/>
        <w:gridCol w:w="1103"/>
        <w:gridCol w:w="95"/>
        <w:gridCol w:w="60"/>
        <w:gridCol w:w="140"/>
        <w:gridCol w:w="1295"/>
        <w:gridCol w:w="95"/>
        <w:gridCol w:w="60"/>
        <w:gridCol w:w="140"/>
        <w:gridCol w:w="1055"/>
        <w:gridCol w:w="112"/>
      </w:tblGrid>
      <w:tr>
        <w:trPr/>
        <w:tc>
          <w:tcPr>
            <w:tcW w:w="4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For the six months ended </w:t>
              <w:br/>
              <w:t>June 30,</w:t>
            </w:r>
            <w:r>
              <w:rPr>
                <w:rFonts w:ascii="Times New Roman;Times;Serif" w:hAnsi="Times New Roman;Times;Serif"/>
                <w:sz w:val="20"/>
              </w:rPr>
              <w:t xml:space="preserve">  </w:t>
            </w:r>
          </w:p>
        </w:tc>
        <w:tc>
          <w:tcPr>
            <w:tcW w:w="112" w:type="dxa"/>
            <w:tcBorders/>
            <w:vAlign w:val="center"/>
          </w:tcPr>
          <w:p>
            <w:pPr>
              <w:pStyle w:val="TableContents"/>
              <w:bidi w:val="0"/>
              <w:spacing w:before="0" w:after="283"/>
              <w:jc w:val="left"/>
              <w:rPr/>
            </w:pPr>
            <w:r>
              <w:rPr/>
              <w:t> </w:t>
            </w:r>
          </w:p>
        </w:tc>
      </w:tr>
      <w:tr>
        <w:trPr/>
        <w:tc>
          <w:tcPr>
            <w:tcW w:w="43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2025</w:t>
            </w:r>
            <w:r>
              <w:rPr>
                <w:rFonts w:ascii="Times New Roman;Times;Serif" w:hAnsi="Times New Roman;Times;Serif"/>
                <w:sz w:val="20"/>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4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309"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(1,000,000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(300,000</w:t>
            </w:r>
          </w:p>
        </w:tc>
        <w:tc>
          <w:tcPr>
            <w:tcW w:w="112" w:type="dxa"/>
            <w:tcBorders/>
            <w:shd w:fill="CCEEFF" w:val="clear"/>
            <w:vAlign w:val="center"/>
          </w:tcPr>
          <w:p>
            <w:pPr>
              <w:pStyle w:val="TableContents"/>
              <w:bidi w:val="0"/>
              <w:spacing w:before="0" w:after="283"/>
              <w:jc w:val="left"/>
              <w:rPr/>
            </w:pPr>
            <w:r>
              <w:rPr/>
              <w:t>)</w:t>
            </w:r>
          </w:p>
        </w:tc>
      </w:tr>
      <w:tr>
        <w:trPr/>
        <w:tc>
          <w:tcPr>
            <w:tcW w:w="4309"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(1,296,954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(1,022,730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(2,643,758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(1,960,607</w:t>
            </w:r>
          </w:p>
        </w:tc>
        <w:tc>
          <w:tcPr>
            <w:tcW w:w="112" w:type="dxa"/>
            <w:tcBorders/>
            <w:shd w:fill="FFFFFF" w:val="clear"/>
            <w:vAlign w:val="center"/>
          </w:tcPr>
          <w:p>
            <w:pPr>
              <w:pStyle w:val="TableContents"/>
              <w:bidi w:val="0"/>
              <w:spacing w:before="0" w:after="283"/>
              <w:jc w:val="left"/>
              <w:rPr/>
            </w:pPr>
            <w:r>
              <w:rPr/>
              <w:t>)</w:t>
            </w:r>
          </w:p>
        </w:tc>
      </w:tr>
      <w:tr>
        <w:trPr/>
        <w:tc>
          <w:tcPr>
            <w:tcW w:w="4309"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(553,000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(233,333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(233,333</w:t>
            </w:r>
          </w:p>
        </w:tc>
        <w:tc>
          <w:tcPr>
            <w:tcW w:w="112" w:type="dxa"/>
            <w:tcBorders/>
            <w:shd w:fill="CCEEFF" w:val="clear"/>
            <w:vAlign w:val="center"/>
          </w:tcPr>
          <w:p>
            <w:pPr>
              <w:pStyle w:val="TableContents"/>
              <w:bidi w:val="0"/>
              <w:spacing w:before="0" w:after="283"/>
              <w:jc w:val="left"/>
              <w:rPr/>
            </w:pPr>
            <w:r>
              <w:rPr/>
              <w:t>)</w:t>
            </w:r>
          </w:p>
        </w:tc>
      </w:tr>
      <w:tr>
        <w:trPr/>
        <w:tc>
          <w:tcPr>
            <w:tcW w:w="4309"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(2,849,954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(1,556,063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(4,499,758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(2,493,940</w:t>
            </w:r>
          </w:p>
        </w:tc>
        <w:tc>
          <w:tcPr>
            <w:tcW w:w="112" w:type="dxa"/>
            <w:tcBorders/>
            <w:shd w:fill="FFFFFF" w:val="clear"/>
            <w:vAlign w:val="center"/>
          </w:tcPr>
          <w:p>
            <w:pPr>
              <w:pStyle w:val="TableContents"/>
              <w:bidi w:val="0"/>
              <w:spacing w:before="0" w:after="283"/>
              <w:jc w:val="left"/>
              <w:rPr/>
            </w:pPr>
            <w:r>
              <w:rPr/>
              <w:t>)</w:t>
            </w:r>
          </w:p>
        </w:tc>
      </w:tr>
      <w:tr>
        <w:trPr/>
        <w:tc>
          <w:tcPr>
            <w:tcW w:w="4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(2,849,954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(1,556,063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(4,499,758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(2,493,940</w:t>
            </w:r>
          </w:p>
        </w:tc>
        <w:tc>
          <w:tcPr>
            <w:tcW w:w="112" w:type="dxa"/>
            <w:tcBorders/>
            <w:shd w:fill="FFFFFF" w:val="clear"/>
            <w:vAlign w:val="center"/>
          </w:tcPr>
          <w:p>
            <w:pPr>
              <w:pStyle w:val="TableContents"/>
              <w:bidi w:val="0"/>
              <w:spacing w:before="0" w:after="283"/>
              <w:jc w:val="left"/>
              <w:rPr/>
            </w:pPr>
            <w:r>
              <w:rPr/>
              <w:t>)</w:t>
            </w:r>
          </w:p>
        </w:tc>
      </w:tr>
      <w:tr>
        <w:trPr/>
        <w:tc>
          <w:tcPr>
            <w:tcW w:w="4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4,297</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Unrealized loss on fair value changes of digital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(49,281,243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(211,764,440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Realized loss on fair value changes of digital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(28,799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97,826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TOTAL (EXPENSE)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(49,310,042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(211,695,413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4,297</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(52,159,996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(1,553,884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(216,195,171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(2,489,643</w:t>
            </w:r>
          </w:p>
        </w:tc>
        <w:tc>
          <w:tcPr>
            <w:tcW w:w="112" w:type="dxa"/>
            <w:tcBorders/>
            <w:shd w:fill="CCEEFF" w:val="clear"/>
            <w:vAlign w:val="center"/>
          </w:tcPr>
          <w:p>
            <w:pPr>
              <w:pStyle w:val="TableContents"/>
              <w:bidi w:val="0"/>
              <w:spacing w:before="0" w:after="283"/>
              <w:jc w:val="left"/>
              <w:rPr/>
            </w:pPr>
            <w:r>
              <w:rPr/>
              <w:t>)</w:t>
            </w:r>
          </w:p>
        </w:tc>
      </w:tr>
      <w:tr>
        <w:trPr/>
        <w:tc>
          <w:tcPr>
            <w:tcW w:w="4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LESS: INCOME TAX (EXPENSES) BENEFITS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1,947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54,830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(28,871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13,079</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(52,158,049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(1,499,054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(216,224,042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(2,476,564</w:t>
            </w:r>
          </w:p>
        </w:tc>
        <w:tc>
          <w:tcPr>
            <w:tcW w:w="112" w:type="dxa"/>
            <w:tcBorders/>
            <w:shd w:fill="CCEEFF" w:val="clear"/>
            <w:vAlign w:val="center"/>
          </w:tcPr>
          <w:p>
            <w:pPr>
              <w:pStyle w:val="TableContents"/>
              <w:bidi w:val="0"/>
              <w:spacing w:before="0" w:after="283"/>
              <w:jc w:val="left"/>
              <w:rPr/>
            </w:pPr>
            <w:r>
              <w:rPr/>
              <w:t>)</w:t>
            </w:r>
          </w:p>
        </w:tc>
      </w:tr>
      <w:tr>
        <w:trPr/>
        <w:tc>
          <w:tcPr>
            <w:tcW w:w="4309" w:type="dxa"/>
            <w:tcBorders/>
            <w:shd w:fill="FFFFFF" w:val="clear"/>
            <w:vAlign w:val="center"/>
          </w:tcPr>
          <w:p>
            <w:pPr>
              <w:pStyle w:val="TableContents"/>
              <w:bidi w:val="0"/>
              <w:spacing w:before="0" w:after="283"/>
              <w:jc w:val="left"/>
              <w:rPr/>
            </w:pPr>
            <w:r>
              <w:rPr/>
              <w:t>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Net loss attributable to shareholders of common stock</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(52,158,049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(1,499,054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(216,224,025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(2,476,564</w:t>
            </w:r>
          </w:p>
        </w:tc>
        <w:tc>
          <w:tcPr>
            <w:tcW w:w="112" w:type="dxa"/>
            <w:tcBorders/>
            <w:shd w:fill="CCEEFF" w:val="clear"/>
            <w:vAlign w:val="center"/>
          </w:tcPr>
          <w:p>
            <w:pPr>
              <w:pStyle w:val="TableContents"/>
              <w:bidi w:val="0"/>
              <w:spacing w:before="0" w:after="283"/>
              <w:jc w:val="left"/>
              <w:rPr/>
            </w:pPr>
            <w:r>
              <w:rPr/>
              <w:t>)</w:t>
            </w:r>
          </w:p>
        </w:tc>
      </w:tr>
      <w:tr>
        <w:trPr/>
        <w:tc>
          <w:tcPr>
            <w:tcW w:w="4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COMPREHENSIVE LOSS, net of tax</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28" w:type="dxa"/>
            <w:tcBorders/>
            <w:shd w:fill="FFFFFF" w:val="clear"/>
            <w:vAlign w:val="center"/>
          </w:tcPr>
          <w:p>
            <w:pPr>
              <w:pStyle w:val="TableContents"/>
              <w:bidi w:val="0"/>
              <w:spacing w:before="0" w:after="283"/>
              <w:jc w:val="right"/>
              <w:rPr/>
            </w:pPr>
            <w:r>
              <w:rPr/>
              <w:t>(52,158,026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(1,499,036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(216,224,005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(2,476,540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4309" w:type="dxa"/>
            <w:tcBorders/>
            <w:shd w:fill="CCEEFF" w:val="clear"/>
            <w:vAlign w:val="center"/>
          </w:tcPr>
          <w:p>
            <w:pPr>
              <w:pStyle w:val="TableContents"/>
              <w:bidi w:val="0"/>
              <w:spacing w:before="0" w:after="283"/>
              <w:jc w:val="left"/>
              <w:rPr/>
            </w:pPr>
            <w:r>
              <w:rPr/>
              <w:t>Comprehensive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4309" w:type="dxa"/>
            <w:tcBorders/>
            <w:shd w:fill="FFFFFF" w:val="clear"/>
            <w:vAlign w:val="center"/>
          </w:tcPr>
          <w:p>
            <w:pPr>
              <w:pStyle w:val="TableContents"/>
              <w:bidi w:val="0"/>
              <w:spacing w:before="0" w:after="283"/>
              <w:jc w:val="left"/>
              <w:rPr/>
            </w:pPr>
            <w:r>
              <w:rPr/>
              <w:t>Comprehensive loss attributable to shareholders of common stock</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(52,158,032</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(1,499,041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(216,223,998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(2,476,547</w:t>
            </w:r>
          </w:p>
        </w:tc>
        <w:tc>
          <w:tcPr>
            <w:tcW w:w="112" w:type="dxa"/>
            <w:tcBorders/>
            <w:shd w:fill="FFFFFF" w:val="clear"/>
            <w:vAlign w:val="center"/>
          </w:tcPr>
          <w:p>
            <w:pPr>
              <w:pStyle w:val="TableContents"/>
              <w:bidi w:val="0"/>
              <w:spacing w:before="0" w:after="283"/>
              <w:jc w:val="left"/>
              <w:rPr/>
            </w:pPr>
            <w:r>
              <w:rPr/>
              <w:t>)</w:t>
            </w:r>
          </w:p>
        </w:tc>
      </w:tr>
      <w:tr>
        <w:trPr/>
        <w:tc>
          <w:tcPr>
            <w:tcW w:w="4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WEIGHTED AVERAGE NUMBER OF COMMON STOCKS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Basic and diluted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pPr>
            <w:r>
              <w:rPr/>
              <w:t>977,363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79,080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620,243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62,661</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9" w:type="dxa"/>
            <w:tcBorders/>
            <w:shd w:fill="CCEEFF" w:val="clear"/>
            <w:vAlign w:val="center"/>
          </w:tcPr>
          <w:p>
            <w:pPr>
              <w:pStyle w:val="TableContents"/>
              <w:bidi w:val="0"/>
              <w:spacing w:before="0" w:after="283"/>
              <w:jc w:val="left"/>
              <w:rPr/>
            </w:pPr>
            <w:r>
              <w:rPr/>
              <w:t>Loss per share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3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Basic and diluted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pPr>
            <w:r>
              <w:rPr/>
              <w:t>(53.4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(39.5</w:t>
            </w:r>
          </w:p>
        </w:tc>
        <w:tc>
          <w:tcPr>
            <w:tcW w:w="112"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On June 29, 2026, the Company effected a 1-for-250 reverse stock split. All share and per share amounts presented in these unaudited interim condensed consolidated financial statements have been retroactively adjusted to give effect to the reverse stock split.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GD CULTURE GROUP LIMITED AND ITS SUBSIDIARIES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CHANGES IN SHAREHOLDERS’ EQUITY (DEFICIT)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5210" w:type="dxa"/>
        <w:jc w:val="left"/>
        <w:tblInd w:w="0" w:type="dxa"/>
        <w:tblLayout w:type="fixed"/>
        <w:tblCellMar>
          <w:top w:w="0" w:type="dxa"/>
          <w:left w:w="0" w:type="dxa"/>
          <w:bottom w:w="0" w:type="dxa"/>
          <w:right w:w="0" w:type="dxa"/>
        </w:tblCellMar>
      </w:tblPr>
      <w:tblGrid>
        <w:gridCol w:w="1820"/>
        <w:gridCol w:w="60"/>
        <w:gridCol w:w="107"/>
        <w:gridCol w:w="603"/>
        <w:gridCol w:w="60"/>
        <w:gridCol w:w="60"/>
        <w:gridCol w:w="140"/>
        <w:gridCol w:w="815"/>
        <w:gridCol w:w="60"/>
        <w:gridCol w:w="60"/>
        <w:gridCol w:w="60"/>
        <w:gridCol w:w="980"/>
        <w:gridCol w:w="60"/>
        <w:gridCol w:w="60"/>
        <w:gridCol w:w="231"/>
        <w:gridCol w:w="629"/>
        <w:gridCol w:w="60"/>
        <w:gridCol w:w="60"/>
        <w:gridCol w:w="140"/>
        <w:gridCol w:w="1220"/>
        <w:gridCol w:w="60"/>
        <w:gridCol w:w="60"/>
        <w:gridCol w:w="140"/>
        <w:gridCol w:w="1295"/>
        <w:gridCol w:w="95"/>
        <w:gridCol w:w="60"/>
        <w:gridCol w:w="239"/>
        <w:gridCol w:w="1371"/>
        <w:gridCol w:w="60"/>
        <w:gridCol w:w="60"/>
        <w:gridCol w:w="151"/>
        <w:gridCol w:w="1399"/>
        <w:gridCol w:w="95"/>
        <w:gridCol w:w="60"/>
        <w:gridCol w:w="166"/>
        <w:gridCol w:w="949"/>
        <w:gridCol w:w="95"/>
        <w:gridCol w:w="60"/>
        <w:gridCol w:w="140"/>
        <w:gridCol w:w="1295"/>
        <w:gridCol w:w="75"/>
      </w:tblGrid>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Attributable to GD Culture Group Limited Shareholders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 xml:space="preserve">Total </w:t>
              <w:br/>
              <w:t>GD Culture</w:t>
              <w:br/>
              <w:t>Group Limited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Non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Preferred Stock </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Stock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Shareholders’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Capital </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b/>
              </w:rPr>
            </w:pPr>
            <w:r>
              <w:rPr>
                <w:b/>
              </w:rPr>
              <w:t>Balance, January 1, 2026</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229,278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937,776,239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(270,071,082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371" w:type="dxa"/>
            <w:tcBorders/>
            <w:shd w:fill="CCEEFF" w:val="clear"/>
            <w:vAlign w:val="center"/>
          </w:tcPr>
          <w:p>
            <w:pPr>
              <w:pStyle w:val="TableContents"/>
              <w:bidi w:val="0"/>
              <w:spacing w:before="0" w:after="283"/>
              <w:jc w:val="right"/>
              <w:rPr>
                <w:b/>
              </w:rPr>
            </w:pPr>
            <w:r>
              <w:rPr>
                <w:b/>
              </w:rPr>
              <w:t>152,627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399" w:type="dxa"/>
            <w:tcBorders/>
            <w:shd w:fill="CCEEFF" w:val="clear"/>
            <w:vAlign w:val="center"/>
          </w:tcPr>
          <w:p>
            <w:pPr>
              <w:pStyle w:val="TableContents"/>
              <w:bidi w:val="0"/>
              <w:spacing w:before="0" w:after="283"/>
              <w:jc w:val="right"/>
              <w:rPr>
                <w:b/>
              </w:rPr>
            </w:pPr>
            <w:r>
              <w:rPr>
                <w:b/>
              </w:rPr>
              <w:t>667,857,807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rPr>
            </w:pPr>
            <w:r>
              <w:rPr>
                <w:b/>
              </w:rPr>
              <w:t>$</w:t>
            </w:r>
          </w:p>
        </w:tc>
        <w:tc>
          <w:tcPr>
            <w:tcW w:w="949" w:type="dxa"/>
            <w:tcBorders/>
            <w:shd w:fill="CCEEFF" w:val="clear"/>
            <w:vAlign w:val="center"/>
          </w:tcPr>
          <w:p>
            <w:pPr>
              <w:pStyle w:val="TableContents"/>
              <w:bidi w:val="0"/>
              <w:spacing w:before="0" w:after="283"/>
              <w:jc w:val="right"/>
              <w:rPr>
                <w:b/>
              </w:rPr>
            </w:pPr>
            <w:r>
              <w:rPr>
                <w:b/>
              </w:rPr>
              <w:t>284,338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668,142,145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(164,065,976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right"/>
              <w:rPr/>
            </w:pPr>
            <w:r>
              <w:rPr/>
              <w:t>(164,065,976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(164,065,993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820" w:type="dxa"/>
            <w:tcBorders/>
            <w:shd w:fill="CCEEFF" w:val="clear"/>
            <w:vAlign w:val="center"/>
          </w:tcPr>
          <w:p>
            <w:pPr>
              <w:pStyle w:val="TableContents"/>
              <w:bidi w:val="0"/>
              <w:spacing w:before="0" w:after="283"/>
              <w:jc w:val="left"/>
              <w:rPr/>
            </w:pPr>
            <w:r>
              <w:rPr/>
              <w:t>Exercise of May 2025 prefunded warrants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1,744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1"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9"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b/>
              </w:rPr>
            </w:pPr>
            <w:r>
              <w:rPr>
                <w:b/>
              </w:rPr>
              <w:t>Balance, March 31, 2026 (Unaudited)</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243,045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937,777,982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(434,137,058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371" w:type="dxa"/>
            <w:tcBorders/>
            <w:shd w:fill="CCEEFF" w:val="clear"/>
            <w:vAlign w:val="center"/>
          </w:tcPr>
          <w:p>
            <w:pPr>
              <w:pStyle w:val="TableContents"/>
              <w:bidi w:val="0"/>
              <w:spacing w:before="0" w:after="283"/>
              <w:jc w:val="right"/>
              <w:rPr>
                <w:b/>
              </w:rPr>
            </w:pPr>
            <w:r>
              <w:rPr>
                <w:b/>
              </w:rPr>
              <w:t>152,637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399" w:type="dxa"/>
            <w:tcBorders/>
            <w:shd w:fill="CCEEFF" w:val="clear"/>
            <w:vAlign w:val="center"/>
          </w:tcPr>
          <w:p>
            <w:pPr>
              <w:pStyle w:val="TableContents"/>
              <w:bidi w:val="0"/>
              <w:spacing w:before="0" w:after="283"/>
              <w:jc w:val="right"/>
              <w:rPr>
                <w:b/>
              </w:rPr>
            </w:pPr>
            <w:r>
              <w:rPr>
                <w:b/>
              </w:rPr>
              <w:t>503,793,585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rPr>
            </w:pPr>
            <w:r>
              <w:rPr>
                <w:b/>
              </w:rPr>
              <w:t>$</w:t>
            </w:r>
          </w:p>
        </w:tc>
        <w:tc>
          <w:tcPr>
            <w:tcW w:w="949" w:type="dxa"/>
            <w:tcBorders/>
            <w:shd w:fill="CCEEFF" w:val="clear"/>
            <w:vAlign w:val="center"/>
          </w:tcPr>
          <w:p>
            <w:pPr>
              <w:pStyle w:val="TableContents"/>
              <w:bidi w:val="0"/>
              <w:spacing w:before="0" w:after="283"/>
              <w:jc w:val="right"/>
              <w:rPr>
                <w:b/>
              </w:rPr>
            </w:pPr>
            <w:r>
              <w:rPr>
                <w:b/>
              </w:rPr>
              <w:t>284,325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504,077,910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(52,158,049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right"/>
              <w:rPr/>
            </w:pPr>
            <w:r>
              <w:rPr/>
              <w:t>(52,158,049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(52,158,049</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820" w:type="dxa"/>
            <w:tcBorders/>
            <w:shd w:fill="CCEEFF" w:val="clear"/>
            <w:vAlign w:val="center"/>
          </w:tcPr>
          <w:p>
            <w:pPr>
              <w:pStyle w:val="TableContents"/>
              <w:bidi w:val="0"/>
              <w:spacing w:before="0" w:after="283"/>
              <w:jc w:val="left"/>
              <w:rPr/>
            </w:pPr>
            <w:r>
              <w:rPr/>
              <w:t>Issuance of common stock for cash</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3,919,455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46,587,753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46,588,145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46,588,145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1"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9"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b/>
              </w:rPr>
            </w:pPr>
            <w:r>
              <w:rPr>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984,365,735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(486,295,107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7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152,654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498,223,698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284,331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498,508,029</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On June 29, 2026, the Company effected a 1-for-250 reverse stock split. All share and per share amounts presented in these unaudited interim condensed consolidated financial statements have been retroactively adjusted to give effect to the reverse stock split.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 CULTURE GROUP LIMITED AND ITS SUBSIDIARIES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CHANGES IN SHAREHOLDERS’ EQUITY (DEFICIT)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1230" w:type="dxa"/>
        <w:jc w:val="left"/>
        <w:tblInd w:w="0" w:type="dxa"/>
        <w:tblLayout w:type="fixed"/>
        <w:tblCellMar>
          <w:top w:w="0" w:type="dxa"/>
          <w:left w:w="0" w:type="dxa"/>
          <w:bottom w:w="0" w:type="dxa"/>
          <w:right w:w="0" w:type="dxa"/>
        </w:tblCellMar>
      </w:tblPr>
      <w:tblGrid>
        <w:gridCol w:w="815"/>
        <w:gridCol w:w="60"/>
        <w:gridCol w:w="60"/>
        <w:gridCol w:w="440"/>
        <w:gridCol w:w="60"/>
        <w:gridCol w:w="60"/>
        <w:gridCol w:w="154"/>
        <w:gridCol w:w="451"/>
        <w:gridCol w:w="60"/>
        <w:gridCol w:w="60"/>
        <w:gridCol w:w="60"/>
        <w:gridCol w:w="515"/>
        <w:gridCol w:w="60"/>
        <w:gridCol w:w="60"/>
        <w:gridCol w:w="302"/>
        <w:gridCol w:w="303"/>
        <w:gridCol w:w="60"/>
        <w:gridCol w:w="60"/>
        <w:gridCol w:w="110"/>
        <w:gridCol w:w="830"/>
        <w:gridCol w:w="60"/>
        <w:gridCol w:w="60"/>
        <w:gridCol w:w="147"/>
        <w:gridCol w:w="773"/>
        <w:gridCol w:w="80"/>
        <w:gridCol w:w="60"/>
        <w:gridCol w:w="110"/>
        <w:gridCol w:w="890"/>
        <w:gridCol w:w="80"/>
        <w:gridCol w:w="60"/>
        <w:gridCol w:w="173"/>
        <w:gridCol w:w="957"/>
        <w:gridCol w:w="60"/>
        <w:gridCol w:w="60"/>
        <w:gridCol w:w="116"/>
        <w:gridCol w:w="849"/>
        <w:gridCol w:w="80"/>
        <w:gridCol w:w="60"/>
        <w:gridCol w:w="125"/>
        <w:gridCol w:w="690"/>
        <w:gridCol w:w="60"/>
        <w:gridCol w:w="60"/>
        <w:gridCol w:w="116"/>
        <w:gridCol w:w="849"/>
        <w:gridCol w:w="75"/>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0" w:type="dxa"/>
            <w:gridSpan w:val="34"/>
            <w:tcBorders>
              <w:bottom w:val="single" w:sz="12" w:space="0" w:color="000000"/>
            </w:tcBorders>
            <w:tcMar>
              <w:bottom w:w="28" w:type="dxa"/>
            </w:tcMar>
            <w:vAlign w:val="center"/>
          </w:tcPr>
          <w:p>
            <w:pPr>
              <w:pStyle w:val="TableContents"/>
              <w:bidi w:val="0"/>
              <w:spacing w:before="0" w:after="283"/>
              <w:jc w:val="center"/>
              <w:rPr>
                <w:b/>
                <w:sz w:val="16"/>
              </w:rPr>
            </w:pPr>
            <w:r>
              <w:rPr>
                <w:b/>
                <w:sz w:val="16"/>
              </w:rPr>
              <w:t>Attributable to GD Culture Group Limited 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GD Culture</w:t>
              <w:br/>
              <w:t>Group</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Limited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16"/>
              </w:rPr>
            </w:pPr>
            <w:r>
              <w:rPr>
                <w:b/>
                <w:sz w:val="16"/>
              </w:rPr>
              <w:t>Non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Shareholders’</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Preferred Stock </w:t>
            </w:r>
            <w:r>
              <w:rPr>
                <w:b/>
                <w:position w:val="5"/>
                <w:sz w:val="13"/>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Common Stock </w:t>
            </w:r>
            <w:r>
              <w:rPr>
                <w:b/>
                <w:position w:val="5"/>
                <w:sz w:val="13"/>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16"/>
              </w:rPr>
            </w:pPr>
            <w:r>
              <w:rPr>
                <w:b/>
                <w:sz w:val="16"/>
              </w:rPr>
              <w:t>Subscription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16"/>
              </w:rPr>
            </w:pPr>
            <w:r>
              <w:rPr>
                <w:b/>
                <w:sz w:val="16"/>
              </w:rPr>
              <w:t>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Equity</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Capital </w:t>
            </w:r>
            <w:r>
              <w:rPr>
                <w:b/>
                <w:position w:val="5"/>
                <w:sz w:val="13"/>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15" w:type="dxa"/>
            <w:tcBorders/>
            <w:shd w:fill="CCEEFF" w:val="clear"/>
            <w:vAlign w:val="center"/>
          </w:tcPr>
          <w:p>
            <w:pPr>
              <w:pStyle w:val="TableContents"/>
              <w:bidi w:val="0"/>
              <w:spacing w:before="0" w:after="283"/>
              <w:jc w:val="left"/>
              <w:rPr>
                <w:b/>
                <w:sz w:val="16"/>
              </w:rPr>
            </w:pPr>
            <w:r>
              <w:rPr>
                <w:b/>
                <w:sz w:val="16"/>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b/>
                <w:sz w:val="16"/>
              </w:rPr>
            </w:pPr>
            <w:r>
              <w:rPr>
                <w:b/>
                <w:sz w:val="16"/>
              </w:rPr>
              <w:t>$</w:t>
            </w:r>
          </w:p>
        </w:tc>
        <w:tc>
          <w:tcPr>
            <w:tcW w:w="451" w:type="dxa"/>
            <w:tcBorders/>
            <w:shd w:fill="CCEEFF" w:val="clear"/>
            <w:vAlign w:val="center"/>
          </w:tcPr>
          <w:p>
            <w:pPr>
              <w:pStyle w:val="TableContents"/>
              <w:bidi w:val="0"/>
              <w:spacing w:before="0" w:after="283"/>
              <w:jc w:val="right"/>
              <w:rPr/>
            </w:pPr>
            <w:r>
              <w:rPr/>
              <w:t>    </w:t>
            </w: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b/>
                <w:sz w:val="16"/>
              </w:rPr>
            </w:pPr>
            <w:r>
              <w:rPr>
                <w:b/>
                <w:sz w:val="16"/>
              </w:rPr>
              <w:t>44,676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sz w:val="16"/>
              </w:rPr>
            </w:pPr>
            <w:r>
              <w:rPr>
                <w:b/>
                <w:sz w:val="16"/>
              </w:rPr>
              <w:t>$</w:t>
            </w:r>
          </w:p>
        </w:tc>
        <w:tc>
          <w:tcPr>
            <w:tcW w:w="303" w:type="dxa"/>
            <w:tcBorders/>
            <w:shd w:fill="CCEEFF" w:val="clear"/>
            <w:vAlign w:val="center"/>
          </w:tcPr>
          <w:p>
            <w:pPr>
              <w:pStyle w:val="TableContents"/>
              <w:bidi w:val="0"/>
              <w:spacing w:before="0" w:after="283"/>
              <w:jc w:val="right"/>
              <w:rPr>
                <w:b/>
                <w:sz w:val="16"/>
              </w:rPr>
            </w:pPr>
            <w:r>
              <w:rPr>
                <w:b/>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82,760,088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sz w:val="16"/>
              </w:rPr>
            </w:pPr>
            <w:r>
              <w:rPr>
                <w:b/>
                <w:sz w:val="16"/>
              </w:rPr>
              <w:t>$</w:t>
            </w:r>
          </w:p>
        </w:tc>
        <w:tc>
          <w:tcPr>
            <w:tcW w:w="773"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90" w:type="dxa"/>
            <w:tcBorders/>
            <w:shd w:fill="CCEEFF" w:val="clear"/>
            <w:vAlign w:val="center"/>
          </w:tcPr>
          <w:p>
            <w:pPr>
              <w:pStyle w:val="TableContents"/>
              <w:bidi w:val="0"/>
              <w:spacing w:before="0" w:after="283"/>
              <w:jc w:val="right"/>
              <w:rPr>
                <w:b/>
                <w:sz w:val="16"/>
              </w:rPr>
            </w:pPr>
            <w:r>
              <w:rPr>
                <w:b/>
                <w:sz w:val="16"/>
              </w:rPr>
              <w:t>(83,194,386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sz w:val="16"/>
              </w:rPr>
            </w:pPr>
            <w:r>
              <w:rPr>
                <w:b/>
                <w:sz w:val="16"/>
              </w:rPr>
              <w:t>$</w:t>
            </w:r>
          </w:p>
        </w:tc>
        <w:tc>
          <w:tcPr>
            <w:tcW w:w="957" w:type="dxa"/>
            <w:tcBorders/>
            <w:shd w:fill="CCEEFF" w:val="clear"/>
            <w:vAlign w:val="center"/>
          </w:tcPr>
          <w:p>
            <w:pPr>
              <w:pStyle w:val="TableContents"/>
              <w:bidi w:val="0"/>
              <w:spacing w:before="0" w:after="283"/>
              <w:jc w:val="right"/>
              <w:rPr>
                <w:b/>
                <w:sz w:val="16"/>
              </w:rPr>
            </w:pPr>
            <w:r>
              <w:rPr>
                <w:b/>
                <w:sz w:val="16"/>
              </w:rPr>
              <w:t>152,585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b/>
                <w:sz w:val="16"/>
              </w:rPr>
            </w:pPr>
            <w:r>
              <w:rPr>
                <w:b/>
                <w:sz w:val="16"/>
              </w:rPr>
              <w:t>$</w:t>
            </w:r>
          </w:p>
        </w:tc>
        <w:tc>
          <w:tcPr>
            <w:tcW w:w="849" w:type="dxa"/>
            <w:tcBorders/>
            <w:shd w:fill="CCEEFF" w:val="clear"/>
            <w:vAlign w:val="center"/>
          </w:tcPr>
          <w:p>
            <w:pPr>
              <w:pStyle w:val="TableContents"/>
              <w:bidi w:val="0"/>
              <w:spacing w:before="0" w:after="283"/>
              <w:jc w:val="right"/>
              <w:rPr>
                <w:b/>
                <w:sz w:val="16"/>
              </w:rPr>
            </w:pPr>
            <w:r>
              <w:rPr>
                <w:b/>
                <w:sz w:val="16"/>
              </w:rPr>
              <w:t>(281,709</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16"/>
              </w:rPr>
            </w:pPr>
            <w:r>
              <w:rPr>
                <w:b/>
                <w:sz w:val="16"/>
              </w:rPr>
              <w:t>$</w:t>
            </w:r>
          </w:p>
        </w:tc>
        <w:tc>
          <w:tcPr>
            <w:tcW w:w="690" w:type="dxa"/>
            <w:tcBorders/>
            <w:shd w:fill="CCEEFF" w:val="clear"/>
            <w:vAlign w:val="center"/>
          </w:tcPr>
          <w:p>
            <w:pPr>
              <w:pStyle w:val="TableContents"/>
              <w:bidi w:val="0"/>
              <w:spacing w:before="0" w:after="283"/>
              <w:jc w:val="right"/>
              <w:rPr>
                <w:b/>
                <w:sz w:val="16"/>
              </w:rPr>
            </w:pPr>
            <w:r>
              <w:rPr>
                <w:b/>
                <w:sz w:val="16"/>
              </w:rPr>
              <w:t>284,352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b/>
                <w:sz w:val="16"/>
              </w:rPr>
            </w:pPr>
            <w:r>
              <w:rPr>
                <w:b/>
                <w:sz w:val="16"/>
              </w:rPr>
              <w:t>$</w:t>
            </w:r>
          </w:p>
        </w:tc>
        <w:tc>
          <w:tcPr>
            <w:tcW w:w="849" w:type="dxa"/>
            <w:tcBorders/>
            <w:shd w:fill="CCEEFF" w:val="clear"/>
            <w:vAlign w:val="center"/>
          </w:tcPr>
          <w:p>
            <w:pPr>
              <w:pStyle w:val="TableContents"/>
              <w:bidi w:val="0"/>
              <w:spacing w:before="0" w:after="283"/>
              <w:jc w:val="right"/>
              <w:rPr>
                <w:b/>
                <w:sz w:val="16"/>
              </w:rPr>
            </w:pPr>
            <w:r>
              <w:rPr>
                <w:b/>
                <w:sz w:val="16"/>
              </w:rPr>
              <w:t>2,643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(977,510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(977,510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(977,510</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815" w:type="dxa"/>
            <w:tcBorders/>
            <w:shd w:fill="CCEEFF" w:val="clear"/>
            <w:vAlign w:val="center"/>
          </w:tcPr>
          <w:p>
            <w:pPr>
              <w:pStyle w:val="TableContents"/>
              <w:bidi w:val="0"/>
              <w:spacing w:before="0" w:after="283"/>
              <w:jc w:val="left"/>
              <w:rPr>
                <w:sz w:val="16"/>
              </w:rPr>
            </w:pPr>
            <w:r>
              <w:rPr>
                <w:sz w:val="16"/>
              </w:rPr>
              <w:t>Issuance of common stock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4,462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909,999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910,000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910,000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5" w:type="dxa"/>
            <w:tcBorders/>
            <w:shd w:fill="FFFFFF" w:val="clear"/>
            <w:vAlign w:val="center"/>
          </w:tcPr>
          <w:p>
            <w:pPr>
              <w:pStyle w:val="TableContents"/>
              <w:bidi w:val="0"/>
              <w:spacing w:before="0" w:after="283"/>
              <w:jc w:val="left"/>
              <w:rPr>
                <w:sz w:val="16"/>
              </w:rPr>
            </w:pPr>
            <w:r>
              <w:rPr>
                <w:sz w:val="16"/>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15" w:type="dxa"/>
            <w:tcBorders/>
            <w:shd w:fill="CCEEFF" w:val="clear"/>
            <w:vAlign w:val="center"/>
          </w:tcPr>
          <w:p>
            <w:pPr>
              <w:pStyle w:val="TableContents"/>
              <w:bidi w:val="0"/>
              <w:spacing w:before="0" w:after="283"/>
              <w:jc w:val="left"/>
              <w:rPr>
                <w:b/>
                <w:sz w:val="16"/>
              </w:rPr>
            </w:pPr>
            <w:r>
              <w:rPr>
                <w:b/>
                <w:sz w:val="16"/>
              </w:rPr>
              <w:t>Balance, March 31,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b/>
                <w:sz w:val="16"/>
              </w:rPr>
            </w:pPr>
            <w:r>
              <w:rPr>
                <w:b/>
                <w:sz w:val="16"/>
              </w:rPr>
              <w:t>$</w:t>
            </w:r>
          </w:p>
        </w:tc>
        <w:tc>
          <w:tcPr>
            <w:tcW w:w="451"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b/>
                <w:sz w:val="16"/>
              </w:rPr>
            </w:pPr>
            <w:r>
              <w:rPr>
                <w:b/>
                <w:sz w:val="16"/>
              </w:rPr>
              <w:t>49,138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sz w:val="16"/>
              </w:rPr>
            </w:pPr>
            <w:r>
              <w:rPr>
                <w:b/>
                <w:sz w:val="16"/>
              </w:rPr>
              <w:t>$</w:t>
            </w:r>
          </w:p>
        </w:tc>
        <w:tc>
          <w:tcPr>
            <w:tcW w:w="303" w:type="dxa"/>
            <w:tcBorders/>
            <w:shd w:fill="CCEEFF" w:val="clear"/>
            <w:vAlign w:val="center"/>
          </w:tcPr>
          <w:p>
            <w:pPr>
              <w:pStyle w:val="TableContents"/>
              <w:bidi w:val="0"/>
              <w:spacing w:before="0" w:after="283"/>
              <w:jc w:val="right"/>
              <w:rPr>
                <w:b/>
                <w:sz w:val="16"/>
              </w:rPr>
            </w:pPr>
            <w:r>
              <w:rPr>
                <w:b/>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83,670,087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sz w:val="16"/>
              </w:rPr>
            </w:pPr>
            <w:r>
              <w:rPr>
                <w:b/>
                <w:sz w:val="16"/>
              </w:rPr>
              <w:t>$</w:t>
            </w:r>
          </w:p>
        </w:tc>
        <w:tc>
          <w:tcPr>
            <w:tcW w:w="773"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90" w:type="dxa"/>
            <w:tcBorders/>
            <w:shd w:fill="CCEEFF" w:val="clear"/>
            <w:vAlign w:val="center"/>
          </w:tcPr>
          <w:p>
            <w:pPr>
              <w:pStyle w:val="TableContents"/>
              <w:bidi w:val="0"/>
              <w:spacing w:before="0" w:after="283"/>
              <w:jc w:val="right"/>
              <w:rPr>
                <w:b/>
                <w:sz w:val="16"/>
              </w:rPr>
            </w:pPr>
            <w:r>
              <w:rPr>
                <w:b/>
                <w:sz w:val="16"/>
              </w:rPr>
              <w:t>(84,171,896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sz w:val="16"/>
              </w:rPr>
            </w:pPr>
            <w:r>
              <w:rPr>
                <w:b/>
                <w:sz w:val="16"/>
              </w:rPr>
              <w:t>$</w:t>
            </w:r>
          </w:p>
        </w:tc>
        <w:tc>
          <w:tcPr>
            <w:tcW w:w="957" w:type="dxa"/>
            <w:tcBorders/>
            <w:shd w:fill="CCEEFF" w:val="clear"/>
            <w:vAlign w:val="center"/>
          </w:tcPr>
          <w:p>
            <w:pPr>
              <w:pStyle w:val="TableContents"/>
              <w:bidi w:val="0"/>
              <w:spacing w:before="0" w:after="283"/>
              <w:jc w:val="right"/>
              <w:rPr>
                <w:b/>
                <w:sz w:val="16"/>
              </w:rPr>
            </w:pPr>
            <w:r>
              <w:rPr>
                <w:b/>
                <w:sz w:val="16"/>
              </w:rPr>
              <w:t>152,589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b/>
                <w:sz w:val="16"/>
              </w:rPr>
            </w:pPr>
            <w:r>
              <w:rPr>
                <w:b/>
                <w:sz w:val="16"/>
              </w:rPr>
              <w:t>$</w:t>
            </w:r>
          </w:p>
        </w:tc>
        <w:tc>
          <w:tcPr>
            <w:tcW w:w="849" w:type="dxa"/>
            <w:tcBorders/>
            <w:shd w:fill="CCEEFF" w:val="clear"/>
            <w:vAlign w:val="center"/>
          </w:tcPr>
          <w:p>
            <w:pPr>
              <w:pStyle w:val="TableContents"/>
              <w:bidi w:val="0"/>
              <w:spacing w:before="0" w:after="283"/>
              <w:jc w:val="right"/>
              <w:rPr>
                <w:b/>
                <w:sz w:val="16"/>
              </w:rPr>
            </w:pPr>
            <w:r>
              <w:rPr>
                <w:b/>
                <w:sz w:val="16"/>
              </w:rPr>
              <w:t>(349,215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16"/>
              </w:rPr>
            </w:pPr>
            <w:r>
              <w:rPr>
                <w:b/>
                <w:sz w:val="16"/>
              </w:rPr>
              <w:t>$</w:t>
            </w:r>
          </w:p>
        </w:tc>
        <w:tc>
          <w:tcPr>
            <w:tcW w:w="690" w:type="dxa"/>
            <w:tcBorders/>
            <w:shd w:fill="CCEEFF" w:val="clear"/>
            <w:vAlign w:val="center"/>
          </w:tcPr>
          <w:p>
            <w:pPr>
              <w:pStyle w:val="TableContents"/>
              <w:bidi w:val="0"/>
              <w:spacing w:before="0" w:after="283"/>
              <w:jc w:val="right"/>
              <w:rPr>
                <w:b/>
                <w:sz w:val="16"/>
              </w:rPr>
            </w:pPr>
            <w:r>
              <w:rPr>
                <w:b/>
                <w:sz w:val="16"/>
              </w:rPr>
              <w:t>284,354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b/>
                <w:sz w:val="16"/>
              </w:rPr>
            </w:pPr>
            <w:r>
              <w:rPr>
                <w:b/>
                <w:sz w:val="16"/>
              </w:rPr>
              <w:t>$</w:t>
            </w:r>
          </w:p>
        </w:tc>
        <w:tc>
          <w:tcPr>
            <w:tcW w:w="849" w:type="dxa"/>
            <w:tcBorders/>
            <w:shd w:fill="CCEEFF" w:val="clear"/>
            <w:vAlign w:val="center"/>
          </w:tcPr>
          <w:p>
            <w:pPr>
              <w:pStyle w:val="TableContents"/>
              <w:bidi w:val="0"/>
              <w:spacing w:before="0" w:after="283"/>
              <w:jc w:val="right"/>
              <w:rPr>
                <w:b/>
                <w:sz w:val="16"/>
              </w:rPr>
            </w:pPr>
            <w:r>
              <w:rPr>
                <w:b/>
                <w:sz w:val="16"/>
              </w:rPr>
              <w:t>(64,861</w:t>
            </w:r>
          </w:p>
        </w:tc>
        <w:tc>
          <w:tcPr>
            <w:tcW w:w="7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81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(1,499,054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(1,499,054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(1,499,054</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815" w:type="dxa"/>
            <w:tcBorders/>
            <w:shd w:fill="CCEEFF" w:val="clear"/>
            <w:vAlign w:val="center"/>
          </w:tcPr>
          <w:p>
            <w:pPr>
              <w:pStyle w:val="TableContents"/>
              <w:bidi w:val="0"/>
              <w:spacing w:before="0" w:after="283"/>
              <w:jc w:val="left"/>
              <w:rPr>
                <w:sz w:val="16"/>
              </w:rPr>
            </w:pPr>
            <w:r>
              <w:rPr>
                <w:sz w:val="16"/>
              </w:rPr>
              <w:t>Issuance of common stock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4,462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541,050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541,050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541,050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5" w:type="dxa"/>
            <w:tcBorders/>
            <w:shd w:fill="FFFFFF" w:val="clear"/>
            <w:vAlign w:val="center"/>
          </w:tcPr>
          <w:p>
            <w:pPr>
              <w:pStyle w:val="TableContents"/>
              <w:bidi w:val="0"/>
              <w:spacing w:before="0" w:after="283"/>
              <w:jc w:val="left"/>
              <w:rPr>
                <w:sz w:val="16"/>
              </w:rPr>
            </w:pPr>
            <w:r>
              <w:rPr>
                <w:sz w:val="16"/>
              </w:rPr>
              <w:t>Issuance of prefunded warrants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3,615,226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sz w:val="16"/>
              </w:rPr>
            </w:pPr>
            <w:r>
              <w:rPr>
                <w:sz w:val="16"/>
              </w:rPr>
              <w:t>(17,390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3,597,836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3,597,836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15" w:type="dxa"/>
            <w:tcBorders/>
            <w:shd w:fill="CCEEFF" w:val="clear"/>
            <w:vAlign w:val="center"/>
          </w:tcPr>
          <w:p>
            <w:pPr>
              <w:pStyle w:val="TableContents"/>
              <w:bidi w:val="0"/>
              <w:spacing w:before="0" w:after="283"/>
              <w:jc w:val="left"/>
              <w:rPr>
                <w:sz w:val="16"/>
              </w:rPr>
            </w:pPr>
            <w:r>
              <w:rPr>
                <w:sz w:val="16"/>
              </w:rPr>
              <w:t>Exercise of November 2023 Registered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3,811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16"/>
              </w:rPr>
            </w:pPr>
            <w:r>
              <w:rPr>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5" w:type="dxa"/>
            <w:tcBorders/>
            <w:shd w:fill="FFFFFF" w:val="clear"/>
            <w:vAlign w:val="center"/>
          </w:tcPr>
          <w:p>
            <w:pPr>
              <w:pStyle w:val="TableContents"/>
              <w:bidi w:val="0"/>
              <w:spacing w:before="0" w:after="283"/>
              <w:jc w:val="left"/>
              <w:rPr>
                <w:sz w:val="16"/>
              </w:rPr>
            </w:pPr>
            <w:r>
              <w:rPr>
                <w:sz w:val="16"/>
              </w:rPr>
              <w:t>Issuance of common stock for acquisition of certain software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9,777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right"/>
              <w:rPr>
                <w:sz w:val="16"/>
              </w:rPr>
            </w:pPr>
            <w:r>
              <w:rPr>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5,988,522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5,988,523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16"/>
              </w:rPr>
            </w:pPr>
            <w:r>
              <w:rPr>
                <w:sz w:val="16"/>
              </w:rPr>
              <w:t>5,988,523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15" w:type="dxa"/>
            <w:tcBorders/>
            <w:shd w:fill="CCEEFF" w:val="clear"/>
            <w:vAlign w:val="center"/>
          </w:tcPr>
          <w:p>
            <w:pPr>
              <w:pStyle w:val="TableContents"/>
              <w:bidi w:val="0"/>
              <w:spacing w:before="0" w:after="283"/>
              <w:jc w:val="left"/>
              <w:rPr>
                <w:sz w:val="16"/>
              </w:rPr>
            </w:pPr>
            <w:r>
              <w:rPr>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5" w:type="dxa"/>
            <w:tcBorders/>
            <w:shd w:fill="FFFFFF" w:val="clear"/>
            <w:vAlign w:val="center"/>
          </w:tcPr>
          <w:p>
            <w:pPr>
              <w:pStyle w:val="TableContents"/>
              <w:bidi w:val="0"/>
              <w:spacing w:before="0" w:after="283"/>
              <w:jc w:val="left"/>
              <w:rPr>
                <w:b/>
                <w:sz w:val="16"/>
              </w:rPr>
            </w:pPr>
            <w:r>
              <w:rPr>
                <w:b/>
                <w:sz w:val="16"/>
              </w:rPr>
              <w:t>Balance,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5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67,188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30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93,814,885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7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(17,390</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(85,670,950</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57"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152,602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49"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8,279,153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284,359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49"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8,563,512</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On June 29, 2026, the Company effected a 1-for-250 reverse stock split. All share and per share amounts presented in these unaudited interim condensed consolidated financial statements have been retroactively adjusted to give effect to the reverse stock split.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GD CULTURE GROUP LIMITED AND ITS SUBSIDIARIES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CASH FLOWS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8"/>
        <w:gridCol w:w="60"/>
        <w:gridCol w:w="140"/>
        <w:gridCol w:w="1295"/>
        <w:gridCol w:w="95"/>
        <w:gridCol w:w="60"/>
        <w:gridCol w:w="140"/>
        <w:gridCol w:w="1055"/>
        <w:gridCol w:w="102"/>
      </w:tblGrid>
      <w:tr>
        <w:trPr/>
        <w:tc>
          <w:tcPr>
            <w:tcW w:w="72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02"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(216,224,042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(2,476,564</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7258"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Depreciation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2,152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748,860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424,227</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143,988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206,824</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Unrealized loss on fair value changes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211,764,440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Realized loss on fair value changes of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(153,911</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Prepayments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(8,727,775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(1,389,522</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58"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202,013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(245,963</w:t>
            </w:r>
          </w:p>
        </w:tc>
        <w:tc>
          <w:tcPr>
            <w:tcW w:w="102" w:type="dxa"/>
            <w:tcBorders/>
            <w:shd w:fill="CCEEFF" w:val="clear"/>
            <w:vAlign w:val="center"/>
          </w:tcPr>
          <w:p>
            <w:pPr>
              <w:pStyle w:val="TableContents"/>
              <w:bidi w:val="0"/>
              <w:spacing w:before="0" w:after="283"/>
              <w:ind w:left="0" w:right="0" w:hanging="180"/>
              <w:jc w:val="left"/>
              <w:rPr/>
            </w:pPr>
            <w:r>
              <w:rPr/>
              <w:t>)</w:t>
            </w:r>
          </w:p>
        </w:tc>
      </w:tr>
      <w:tr>
        <w:trPr/>
        <w:tc>
          <w:tcPr>
            <w:tcW w:w="7258"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(155,467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(268,607</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58"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140,832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Other payables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(148,270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51,558</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(12,341,854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(3,708,974</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Purchase of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Proceeds from disposal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71,201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(6,028,799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25,134,155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1,451,050</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Proceeds from issuance of prefunded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3,602,607</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Proceeds from related party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50,000</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Proceeds from shareholder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Repayments to a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(399,485</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25,134,155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4,804,172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EFFECT OF EXCHANGE RATE CHANGE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6,763,539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1,095,222</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456,041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22,538</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58"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7,219,580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1,117,760</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258" w:type="dxa"/>
            <w:tcBorders/>
            <w:shd w:fill="FFFFFF" w:val="clear"/>
            <w:vAlign w:val="center"/>
          </w:tcPr>
          <w:p>
            <w:pPr>
              <w:pStyle w:val="TableContents"/>
              <w:bidi w:val="0"/>
              <w:spacing w:before="0" w:after="283"/>
              <w:jc w:val="left"/>
              <w:rPr/>
            </w:pPr>
            <w:r>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Cash paid for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r>
      <w:tr>
        <w:trPr/>
        <w:tc>
          <w:tcPr>
            <w:tcW w:w="7258"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NON-CASH TRANSACTIONS OF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258" w:type="dxa"/>
            <w:tcBorders/>
            <w:shd w:fill="FFFFFF" w:val="clear"/>
            <w:vAlign w:val="center"/>
          </w:tcPr>
          <w:p>
            <w:pPr>
              <w:pStyle w:val="TableContents"/>
              <w:bidi w:val="0"/>
              <w:spacing w:before="0" w:after="283"/>
              <w:jc w:val="left"/>
              <w:rPr/>
            </w:pPr>
            <w:r>
              <w:rPr/>
              <w:t>Exercise of May 2025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Issuance of common stock for acquisition right, title, and interest in and to the certain software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5,988,523</w:t>
            </w:r>
          </w:p>
        </w:tc>
        <w:tc>
          <w:tcPr>
            <w:tcW w:w="102" w:type="dxa"/>
            <w:tcBorders/>
            <w:shd w:fill="CCEEFF" w:val="clear"/>
            <w:vAlign w:val="center"/>
          </w:tcPr>
          <w:p>
            <w:pPr>
              <w:pStyle w:val="TableContents"/>
              <w:bidi w:val="0"/>
              <w:spacing w:before="0" w:after="283"/>
              <w:jc w:val="left"/>
              <w:rPr/>
            </w:pPr>
            <w:r>
              <w:rPr/>
              <w:t> </w:t>
            </w:r>
          </w:p>
        </w:tc>
      </w:tr>
      <w:tr>
        <w:trPr/>
        <w:tc>
          <w:tcPr>
            <w:tcW w:w="7258" w:type="dxa"/>
            <w:tcBorders/>
            <w:shd w:fill="FFFFFF" w:val="clear"/>
            <w:vAlign w:val="center"/>
          </w:tcPr>
          <w:p>
            <w:pPr>
              <w:pStyle w:val="TableContents"/>
              <w:bidi w:val="0"/>
              <w:spacing w:before="0" w:after="283"/>
              <w:jc w:val="left"/>
              <w:rPr/>
            </w:pPr>
            <w:r>
              <w:rPr/>
              <w:t>Exercise of November 2023 Registered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95</w:t>
            </w:r>
          </w:p>
        </w:tc>
        <w:tc>
          <w:tcPr>
            <w:tcW w:w="102"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Subscription proceeds due from underwriter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21,453,990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GD CULTURE GROUP LIMITED AND SUBSIDIARIES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INTERIM CONDENSED CONSOLIDATED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GD Culture Group Limited (“GDC” or the “Company”), is a Nevada corporation and a holding company. The Company currently conducts its operations through the Company and its subsidiary, AI Catalysis Corp. (“AI Catalysis”). The Company’s business focused on artificial intelligence-related initiatives using its existing artificial intelligence and virtual content generation technologies. In May and June 2026, the Company purchased two software – Fato and Fictoiv, at a price of $3.0 million each. Fato is an interactive storytelling application that allows users to influence the storyline through in-app choices, resulting in multiple possible narrative outcomes. Fictoiv is an AI-powered visual novel creation tool that enables users to create interactive visual novels with AI-generated content and branching storylines. The platform operates on a bring-your-own-key (BYOK) model, with project data stored locally on users’ devices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Subsidiaries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reflect the activities of GDC and each of the following entities: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81"/>
        <w:gridCol w:w="60"/>
        <w:gridCol w:w="170"/>
        <w:gridCol w:w="4879"/>
        <w:gridCol w:w="60"/>
        <w:gridCol w:w="1955"/>
      </w:tblGrid>
      <w:tr>
        <w:trPr/>
        <w:tc>
          <w:tcPr>
            <w:tcW w:w="308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504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Ownership</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 Profit Investment Holding Limited (“Citi Profit BVI”)</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British Virgin Island company Incorporated in April 2019</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owned by the Company</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Highlights Culture Holding Co., Limited (“Highlight HK”)</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Hong Kong company</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owned by Citi Profit BVI</w:t>
            </w:r>
          </w:p>
        </w:tc>
      </w:tr>
      <w:tr>
        <w:trPr/>
        <w:tc>
          <w:tcPr>
            <w:tcW w:w="30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in November 2022</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Highlight Entertainment Co., Ltd. (“Highlight WFOE”)</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PRC limited liability company and deemed a wholly foreign owned enterprise (WFOE)</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owned by Highlight HK</w:t>
            </w:r>
          </w:p>
        </w:tc>
      </w:tr>
      <w:tr>
        <w:trPr/>
        <w:tc>
          <w:tcPr>
            <w:tcW w:w="30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in January 2023</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 Catalysis</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Nevada company</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owned by the Company</w:t>
            </w:r>
          </w:p>
        </w:tc>
      </w:tr>
      <w:tr>
        <w:trPr/>
        <w:tc>
          <w:tcPr>
            <w:tcW w:w="30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in May 2023</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Xianzhui Technology Co., Ltd. (“SH Xianzhui”)</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PRC limited liability company</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73.3333% owned by Highlight WFOE</w:t>
            </w:r>
          </w:p>
        </w:tc>
      </w:tr>
      <w:tr>
        <w:trPr/>
        <w:tc>
          <w:tcPr>
            <w:tcW w:w="30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in August 2023</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308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Pallas Capital Holding Ltd (“Pallas”)</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879" w:type="dxa"/>
            <w:tcBorders/>
            <w:tcMar>
              <w:bottom w:w="0" w:type="dxa"/>
            </w:tcMar>
            <w:vAlign w:val="center"/>
          </w:tcPr>
          <w:p>
            <w:pPr>
              <w:pStyle w:val="TableContents"/>
              <w:bidi w:val="0"/>
              <w:spacing w:before="0" w:after="283"/>
              <w:jc w:val="left"/>
              <w:rPr/>
            </w:pPr>
            <w:r>
              <w:rPr/>
              <w:t>A British Virgin Island company Incorporated in June 2025 and acquired on September 29, 2025</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owned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$7,219,580 in its operating bank accounts and working capital of approximately $36.6 million. The Company has incurred significant losses from operations and had an accumulated deficit of approximately $486 million as of June 30, 2026. The Company has historically financed its operations and liquidity needs primarily through equity financings and other capital-raising activities, including proceeds from its at-the-market offerings and other public offerings.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ability to continue as a going concern in accordance with ASC Subtopic 205-40, Presentation of Financial Statements—Going Concern, which requires management to assess whether there is substantial doubt about the Company’s ability to continue as a going concern within one year after the date the financial statements are issued. The management assessed its liquidity position and concluded that the Company has sufficient liquidity to meet its obligations as they become due for at least the next twelve months from the date the unaudited interim condensed consolidated financial statements are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reflect all adjustments that, in the opinion of management, are of a normal recurring nature and are necessary to fairly present the financial statements for the interim periods. The unaudited interim condensed consolidated financial statements are presented in accordance with accounting principles generally accepted in the United States of America (“U.S. GAAP”) and have been prepared in accordance with the regulations of the Securities and Exchange Commission (“SEC”) for interim financial statements. Results for the interim periods are not necessarily indicative of results to be expected for the full year. These unaudited interim condensed consolidated financial statements should be read in conjunction with the audited consolidated financial statements and related notes thereto included in the Company’s annual report on Form 10-K for the year ended December 31, 2025, which was filed with the SEC on 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Company effected a 1-for-250 reverse stock split (“Reverse Split”) of its authorized, issued and outstanding shares of preferred stock and common stock. The Reverse Split did not change the par value of the Company’s preferred stock and common stock. All references in these consolidated financial statements to stock, stock prices, exercise prices, and other per share information in all periods have been adjusted, on a retroactive basis, to reflect the Reverse Split (see Note 11, “Stockholders’ Equity and Stock-Based Compensation – 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consolidated financial statements of the Company include the accounts of GDC and its wholly owned subsidiaries. All intercompany transactions and balances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interim condensed consolidated financial statements in conformity with U.S. GAAP requires management to make estimates and assumptions that affect the reported amounts of assets and liabilities and disclosures of contingent assets and liabilities as of the date of the unaudited interim condensed consolidated financial statements and the reported amounts of revenues and expenses during the periods presented. Significant accounting estimates reflected in the Company’s unaudited interim condensed consolidated financial statements include the useful lives of intangible assets and equipment, fair value of digital assets and impairment of long-lived assets.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did not have any cash equivalents. All cash were unrestricted as to withdrawal and use and were demand deposits placed with commercial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Prepayments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are advances paid to outside vendors for services purchases. The Company has legally binding contracts with its vendors. Once the services are received, the amounts are recognized as expenses in the unaudited interim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was stated at cost less accumulated depreciation. Depreciation is computed using the straight-line method after consideration of the estimated useful lives of the assets and estimated residual value. The estimated useful lives and residual value are as follows:</w:t>
      </w:r>
    </w:p>
    <w:p>
      <w:pPr>
        <w:pStyle w:val="TextBody"/>
        <w:bidi w:val="0"/>
        <w:spacing w:before="0" w:after="0"/>
        <w:ind w:left="0" w:right="0" w:hanging="0"/>
        <w:jc w:val="both"/>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2960"/>
        <w:gridCol w:w="60"/>
        <w:gridCol w:w="1130"/>
        <w:gridCol w:w="60"/>
        <w:gridCol w:w="312"/>
        <w:gridCol w:w="728"/>
        <w:gridCol w:w="23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Residual</w:t>
              <w:br/>
              <w:t>Value</w:t>
            </w:r>
          </w:p>
        </w:tc>
        <w:tc>
          <w:tcPr>
            <w:tcW w:w="23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5 years</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is included in the unaudited interim condensed consolidated statements of operations. Expenditure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represent software copyright that are stated at cost, less accumulated amortization. Research and development costs associated with internally developed patents are expensed when incurred. Amortization expense is recognized on the straight-line basis over the estimated useful lives of the assets. The software copyrights have finite useful lives and are amortized using a straight-line method that reflects the estimated pattern in which the economic benefits of the intangible asset are to be consumed. The Company amortizes the cost of software copyrights, over their useful life using the straight-line method. The Company also re-evaluates the periods of amortization to determine whether subsequent events and circumstances revised estimates of useful lives. The estimated useful life is as follows:</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940"/>
        <w:gridCol w:w="60"/>
        <w:gridCol w:w="120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pPr>
            <w:r>
              <w:rPr/>
              <w:t> </w:t>
            </w:r>
            <w:r>
              <w:rPr>
                <w:b/>
              </w:rPr>
              <w:t>Useful Life</w:t>
            </w:r>
          </w:p>
        </w:tc>
      </w:tr>
      <w:tr>
        <w:trPr/>
        <w:tc>
          <w:tcPr>
            <w:tcW w:w="1940" w:type="dxa"/>
            <w:tcBorders/>
            <w:shd w:fill="CCEEFF" w:val="clear"/>
            <w:vAlign w:val="center"/>
          </w:tcPr>
          <w:p>
            <w:pPr>
              <w:pStyle w:val="TableContents"/>
              <w:bidi w:val="0"/>
              <w:spacing w:before="0" w:after="283"/>
              <w:jc w:val="left"/>
              <w:rPr/>
            </w:pPr>
            <w:r>
              <w:rPr/>
              <w:t>Software copyrights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5 years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The Company has no significant finance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lease liabilities and corresponding right-of-use assets on the balance sheet for leases. Operating lease right- of-use assets (the “ROU”) are disclosed as non-current assets in the Company’s unaudited interim condensed consolidated balance sheets. Current maturities of operating lease liabilities are classified as operating lease liabilities - current, and operating lease liabilities that will be due in more than one year are disclosed as non-current liabilities on the unaudited interim condensed consolidated balance sheets. Operating lease right-of-use assets and operating lease liabilities are initially recognized based on the present value of future lease payments at lease commencement. The operating lease right-of-use asset also includes any lease payments made prior to lease commencement and the initial direct costs incurred by the lessee and is recorded net of any lease incentives received. As the interest rates implicit in most of the leases are not readily determinable, the Company uses the incremental borrowing rates based on the information available at lease commencement to determine the present value of the future lease payments. Operating lease expenses are recognized on a straight-line basis over the term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did not include non-lease components. Lease expense for fixed lease payments is recognized on a straight-line basis over the lease term. The Company’s lease agreements do not contain any significant residual value guarantees or restricted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carrying value of ROU assets if there are indicators of impairment and reviews the recoverability of the related asset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reassesses of a contract is or contains a leasing arrangement and re-measures ROU assets and lease liabilities upon modification of the contract. The Company will derecognize ROU assets and lease liabilities, with differences recognized in the income statement on the contract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subleased office spaces in accordance with the provisions of ASC Topic 842, Leases (“ASC 842”).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 The sublease income amounted to $0 and $97,826, respectively, for the three and   six months ended June 30, 2026, which was presented as other income on the accompanying unaudited interim condensed consolidated statements of operations and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for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whether indicators of impairment exist requires significant management judgment with respect to its long-lived assets, including intangible assets and operating right-of-use (“ROU”) assets. The Company’s intangible assets primarily include software copyrights, including AI Box, which was previously used for online live-streaming, Chat Box, which is used for online interactive entertainment scenarios, and Fato and Fictoiv, which were newly acquired during 2026. Management considers both external and internal sources of information, including changes in the intended use of the assets, current and expected operating performance, and changes in the Company’s business strategy, in assessing whether impairment indicators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copyright of AI Box was impaired during the fourth quarter of 2025. Chat Box continues to be used in the Company’s current business operations and is consistent with the Company’s current business direction. Based on management’s evaluation, the Company did not identify any impairment indicators related to Chat Box, Fato, Fictoiv or its operating ROU assets as of June 30, 2026. Accordingly, the Company did not recognize any impairment losses on its long-lived assets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digital assets primarily for investment and treasury purposes rather than for use in the ordinary course of business. Based on management’s intent and expected holding period, digital assets are classified as either current or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w:t>
      </w:r>
      <w:r>
        <w:rPr>
          <w:rFonts w:ascii="Times New Roman;Times;Serif" w:hAnsi="Times New Roman;Times;Serif"/>
          <w:b w:val="false"/>
          <w:i/>
          <w:caps w:val="false"/>
          <w:smallCaps w:val="false"/>
          <w:sz w:val="20"/>
        </w:rPr>
        <w:t>ASU 2023-08, Intangibles—Goodwill and Other—Crypto Assets</w:t>
      </w:r>
      <w:r>
        <w:rPr>
          <w:rFonts w:ascii="Times New Roman;Times;Serif" w:hAnsi="Times New Roman;Times;Serif"/>
          <w:b w:val="false"/>
          <w:i w:val="false"/>
          <w:caps w:val="false"/>
          <w:smallCaps w:val="false"/>
          <w:sz w:val="20"/>
        </w:rPr>
        <w:t>, digital assets are accounted for as intangible assets measured at fair value, with changes in fair value recognized immediately in earnings. Digital assets are initially recorded at cost, including acquisition-related fees. Subsequent to initial recognition, digital assets are measured at fair value at each reporting date, and unrealized gains and losses are included in the statement of operations. Upon disposal, the difference between proceeds and carrying amount is recognized as a gain or loss in earnings. The Company discloses the number of units held, cost basis, fair value, and any significant restrictions on the ability to sell or transfer digital assets in the Note 3 to the unaudited interim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substantially all of the fair value of the gross assets acquired is concentrated in a single identifiable asset, the Company considers the nature of the assets, their risks and characteristics, and whether they represent a group of similar assets as defined under ASC 805-10-55-5A through 55-5C.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transactions accounted for as asset acquisitions, the purchase consideration is measured based on the fair value of the consideration transferred, which generally consists of the fair value of equity securities or other assets issued. The acquired assets and assumed liabilities are recognized based on their relative fair values, and no goodwill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standard regarding fair value of financial instruments and related fair value measurements defines financial instruments and requires disclosure of the fair value of financial instruments held by the Company. The Company considers the carrying amount of cash, other receivables, other payables to approximate their fair values because of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standards define fair value, establish a three-level valuation hierarchy for disclosures of fair value measurement and enhance disclosure requirements for fair value measures. The three levels are defined as follow: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to the valuation methodology include quoted prices for similar assets and liabilities in active markets, and inputs that are observable for the assets or liability, either directly or indirectly, for substantially the full term of the financial instruments.</w:t>
            </w:r>
          </w:p>
        </w:tc>
      </w:tr>
    </w:tbl>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to the valuation methodology are unobservable and significant to the fair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carrying values of cash, other receivables and other payables approximate their fair values due to the short-term nature of the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consist of (i) staff cost, and rental related to general and administrative personnel, (ii) professional expenses and (iii) amortization of intangible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mainly consist of outsourced research and development expenses. Research and development expenses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U.S. GAAP. The charge for taxation is based on the results for the fiscal year as adjusted for items, which are non-assessable or disallowed. It is calculated using tax rates that have been enacted or substantively enacted by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using the asset and liability method in respect of temporary differences arising from differences between the carrying amount of assets and liabilities in the unaudited interim condensed consolidated financial statements and the corresponding tax basis used in the computation of assessable tax profit. In principle, deferred tax liabilities are recognized for all taxable temporary differences. Deferred tax assets are recognized to the extent that it is probable that taxable profit will be available against which deductible temporary differences can be utilized. Deferred tax is calculated using tax rates that are expected to apply to the period when the asset is realized or the liability is settled. Deferred tax is charged or credited in the income statement, except when it is related to items credited or charged directly to equity, in which case the deferred tax is also dealt with in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For the three and six months ended June 30, 2026, the Company recorded $15,901 penalty and interest related to the late filing of fiscal year 2023 and 2024 tax returns, consisting of $5,053 interest and $10,848 penalty. For the three months ended June 30, 2025, the Company recorded $7,428 penalty and interest for failed filing the tax return timely, consisting of $3,341 interest and $4,087 penalty. For the six months ended June 30, 2025, the Company recorded $64,731 penalty and interest for failed filing the tax return timely, consisting of $19,323 interest and $45,408 penalty.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mainly generated from bank deposits and other interest earning financial assets and is recognized on an accrual basis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loss available to common shareholders of the Company by the weighted average common stocks outstanding during the period. Diluted loss per share takes into account the potential dilution that could occur if securities or other contracts to issue common stocks were exercised and converted into common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issued and sold pre-funded warrants that are exercisable for shares of common stock at a nominal exercise price. In accordance with ASC 260, these prefunded warrants are considered to be common stock equivalents and are included in the calculation of basic and diluted earnings per share when the inclusion is dilutive. As the exercise price of the prefunded warrants is nominal and substantially all conditions necessary to exercise the warrants have been met, the prefunded warrants are included in the weighted average shares outstanding for both basic and diluted loss per share. As of June 30, 2026, 16,108 pre-funded warrants as described were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is defined as the changes in equity of the Company during a year/period from transactions and other events and circumstances excluding transactions resulting from investments by owners and distributions to owners. Accumulated other comprehensive income of the Company includes the foreign currency translation adjustment.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FASB issued ASU 2025-05, Credit Losses (Topic 326): Simplifications to the Accounting for Short-Term Receivables and Contract Assets. The update introduces practical expedients that allow entities to simplify the estimation of expected credit losses for accounts receivable and 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unaudited interim condensed consolidated financial statements. The Company does not currently expect the adoption of this guidance to have a material impact on its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the applicability of interim reporting guidance, consolidates interim disclosure requirements within Topic 270, and establishes a disclosure principle for material events and changes occurring since the end of the most recent fiscal year. The amendments are effective for public business entities for interim reporting periods within annual reporting periods beginning after December 15, 2027, with early adoption permitted. The adoption of this ASU is not expected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The amendments modernize the accounting for internal-use software costs by removing references to software development project stages and introducing new criteria for determining when software development costs should be capitalized, including consideration of significant development uncertainty. The amendments are effective for annual reporting periods beginning after December 15, 2027, including interim periods within those annual reporting periods. Early adoption is permitted. The Company is currently evaluating the impact of adopting this ASU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Company’s unaudited interim condensed consolidated balance sheets, unaudited interim condensed consolidated statements of operations and comprehensive loss and unaudited interim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The Company’s assets and liabilities that were measured at fair value on a recurring basis were as follows (in millions):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8"/>
        <w:gridCol w:w="60"/>
        <w:gridCol w:w="280"/>
        <w:gridCol w:w="761"/>
        <w:gridCol w:w="70"/>
        <w:gridCol w:w="70"/>
        <w:gridCol w:w="191"/>
        <w:gridCol w:w="511"/>
        <w:gridCol w:w="70"/>
        <w:gridCol w:w="70"/>
        <w:gridCol w:w="271"/>
        <w:gridCol w:w="507"/>
        <w:gridCol w:w="70"/>
        <w:gridCol w:w="70"/>
        <w:gridCol w:w="299"/>
        <w:gridCol w:w="556"/>
        <w:gridCol w:w="60"/>
        <w:gridCol w:w="60"/>
        <w:gridCol w:w="278"/>
        <w:gridCol w:w="763"/>
        <w:gridCol w:w="60"/>
        <w:gridCol w:w="60"/>
        <w:gridCol w:w="188"/>
        <w:gridCol w:w="514"/>
        <w:gridCol w:w="60"/>
        <w:gridCol w:w="60"/>
        <w:gridCol w:w="271"/>
        <w:gridCol w:w="507"/>
        <w:gridCol w:w="60"/>
        <w:gridCol w:w="60"/>
        <w:gridCol w:w="299"/>
        <w:gridCol w:w="556"/>
        <w:gridCol w:w="85"/>
      </w:tblGrid>
      <w:tr>
        <w:trPr/>
        <w:tc>
          <w:tcPr>
            <w:tcW w:w="2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9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 (unaudited)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85" w:type="dxa"/>
            <w:tcBorders/>
            <w:vAlign w:val="center"/>
          </w:tcPr>
          <w:p>
            <w:pPr>
              <w:pStyle w:val="TableContents"/>
              <w:bidi w:val="0"/>
              <w:spacing w:before="0" w:after="283"/>
              <w:jc w:val="left"/>
              <w:rPr/>
            </w:pPr>
            <w:r>
              <w:rPr/>
              <w:t> </w:t>
            </w:r>
          </w:p>
        </w:tc>
      </w:tr>
      <w:tr>
        <w:trPr/>
        <w:tc>
          <w:tcPr>
            <w:tcW w:w="2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85" w:type="dxa"/>
            <w:tcBorders/>
            <w:vAlign w:val="center"/>
          </w:tcPr>
          <w:p>
            <w:pPr>
              <w:pStyle w:val="TableContents"/>
              <w:bidi w:val="0"/>
              <w:spacing w:before="0" w:after="283"/>
              <w:jc w:val="left"/>
              <w:rPr/>
            </w:pPr>
            <w:r>
              <w:rPr/>
              <w:t> </w:t>
            </w:r>
          </w:p>
        </w:tc>
      </w:tr>
      <w:tr>
        <w:trPr/>
        <w:tc>
          <w:tcPr>
            <w:tcW w:w="2408" w:type="dxa"/>
            <w:tcBorders/>
            <w:shd w:fill="CCEEFF" w:val="clear"/>
            <w:vAlign w:val="center"/>
          </w:tcPr>
          <w:p>
            <w:pPr>
              <w:pStyle w:val="TableContents"/>
              <w:bidi w:val="0"/>
              <w:spacing w:before="0" w:after="283"/>
              <w:jc w:val="both"/>
              <w:rPr/>
            </w:pPr>
            <w:r>
              <w:rPr/>
              <w:t>Digital assets – non current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451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1" w:type="dxa"/>
            <w:tcBorders>
              <w:bottom w:val="single" w:sz="12" w:space="0" w:color="000000"/>
            </w:tcBorders>
            <w:shd w:fill="CCEEFF" w:val="clear"/>
            <w:tcMar>
              <w:bottom w:w="28" w:type="dxa"/>
            </w:tcMar>
            <w:vAlign w:val="center"/>
          </w:tcPr>
          <w:p>
            <w:pPr>
              <w:pStyle w:val="TableContents"/>
              <w:bidi w:val="0"/>
              <w:spacing w:before="0" w:after="283"/>
              <w:jc w:val="right"/>
              <w:rPr/>
            </w:pPr>
            <w:r>
              <w:rPr/>
              <w:t>451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4"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2408"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FFFFFF" w:val="clear"/>
            <w:tcMar>
              <w:bottom w:w="28" w:type="dxa"/>
            </w:tcMar>
            <w:vAlign w:val="center"/>
          </w:tcPr>
          <w:p>
            <w:pPr>
              <w:pStyle w:val="TableContents"/>
              <w:bidi w:val="0"/>
              <w:spacing w:before="0" w:after="283"/>
              <w:jc w:val="right"/>
              <w:rPr/>
            </w:pPr>
            <w:r>
              <w:rPr/>
              <w:t>451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11" w:type="dxa"/>
            <w:tcBorders>
              <w:bottom w:val="double" w:sz="10" w:space="0" w:color="000000"/>
            </w:tcBorders>
            <w:shd w:fill="FFFFFF" w:val="clear"/>
            <w:tcMar>
              <w:bottom w:w="28" w:type="dxa"/>
            </w:tcMar>
            <w:vAlign w:val="center"/>
          </w:tcPr>
          <w:p>
            <w:pPr>
              <w:pStyle w:val="TableContents"/>
              <w:bidi w:val="0"/>
              <w:spacing w:before="0" w:after="283"/>
              <w:jc w:val="right"/>
              <w:rPr/>
            </w:pPr>
            <w:r>
              <w:rPr/>
              <w:t>451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0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FFFFFF" w:val="clear"/>
            <w:tcMar>
              <w:bottom w:w="28" w:type="dxa"/>
            </w:tcMar>
            <w:vAlign w:val="center"/>
          </w:tcPr>
          <w:p>
            <w:pPr>
              <w:pStyle w:val="TableContents"/>
              <w:bidi w:val="0"/>
              <w:spacing w:before="0" w:after="283"/>
              <w:jc w:val="right"/>
              <w:rPr/>
            </w:pPr>
            <w:r>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14" w:type="dxa"/>
            <w:tcBorders>
              <w:bottom w:val="double" w:sz="10" w:space="0" w:color="000000"/>
            </w:tcBorders>
            <w:shd w:fill="FFFFFF" w:val="clear"/>
            <w:tcMar>
              <w:bottom w:w="28" w:type="dxa"/>
            </w:tcMar>
            <w:vAlign w:val="center"/>
          </w:tcPr>
          <w:p>
            <w:pPr>
              <w:pStyle w:val="TableContents"/>
              <w:bidi w:val="0"/>
              <w:spacing w:before="0" w:after="283"/>
              <w:jc w:val="right"/>
              <w:rPr/>
            </w:pPr>
            <w:r>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0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held 7,500 units of Bitcoin, at cost of $842 million, which were classified as non-current assets. These Bitcoins were originally held by Pallas and continued to be held following the Company’s acquisition of Pallas. During the six months ended June 30, 2026, the Company acquired approximately 1.08 units of Bitcoin, at cost of $100,000 for short-term trading purposes. During the same period, the Company disposed of all such Bitcoin for cash proceeds of US$71,201, recognized a realized loss of US$28,799 on the sale, and held no Bitcoin acquired for short-term trading purposes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ASU 2023-08, Intangibles—Goodwill and Other—Crypto Assets, the Company accounts for its crypto assets as indefinite-lived intangible assets measured at fair value, with changes in fair value recognized in net income in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Bitcoin is determined based on quoted prices in active markets. The Company does not apply amortization to digital assets. Gains and losses resulting from changes in fair value are presented within “Other (expenses) income” in the unaudited interim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fair value of the Company’s Bitcoin holdings was approximately $451 million. For the three and six months ended June 30, 2026, the Company recognized a net loss of approximately $49 million and $212 million, respectively, in the unaudited interim condensed consolidated statements of operations related to changes in the fair value of its Bitcoin holdings. For the six months ended June 30, 2025, the Company did not recognize any net loss in the unaudited interim condensed consolidated statements of operations related to changes in the fair value of its Bitcoin holdings.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Other receivables,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net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7280" w:type="dxa"/>
        <w:jc w:val="left"/>
        <w:tblInd w:w="0" w:type="dxa"/>
        <w:tblLayout w:type="fixed"/>
        <w:tblCellMar>
          <w:top w:w="0" w:type="dxa"/>
          <w:left w:w="0" w:type="dxa"/>
          <w:bottom w:w="0" w:type="dxa"/>
          <w:right w:w="0" w:type="dxa"/>
        </w:tblCellMar>
      </w:tblPr>
      <w:tblGrid>
        <w:gridCol w:w="4370"/>
        <w:gridCol w:w="60"/>
        <w:gridCol w:w="140"/>
        <w:gridCol w:w="1100"/>
        <w:gridCol w:w="60"/>
        <w:gridCol w:w="60"/>
        <w:gridCol w:w="241"/>
        <w:gridCol w:w="1174"/>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b/>
                <w:sz w:val="20"/>
              </w:rPr>
            </w:pPr>
            <w:r>
              <w:rPr>
                <w:b/>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Subscription proceeds due from underwriter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21,453,990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Sublease rental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32,609</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lease deposit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9,194</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b/>
              </w:rPr>
            </w:pPr>
            <w:r>
              <w:rPr>
                <w:b/>
              </w:rPr>
              <w:t>Total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21,486,599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41,803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Represents the subscription proceeds that were held in the brokerage account of the underwriter as of June 30, 2026 (see Note 11). Immediately subsequent to June 30, 2026, the Company received these proceeds in full from the brokerage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 Prepayments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4940"/>
        <w:gridCol w:w="60"/>
        <w:gridCol w:w="150"/>
        <w:gridCol w:w="1054"/>
        <w:gridCol w:w="60"/>
        <w:gridCol w:w="60"/>
        <w:gridCol w:w="210"/>
        <w:gridCol w:w="1205"/>
        <w:gridCol w:w="7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Prepayments of research and development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195,000</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Prepayments of marketing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Prepayments of operating lease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45,325</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Prepaid car rental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75,648</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Nasdaq listing fee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Other prepayments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13,488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15,615</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Total prepayments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9,059,363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331,588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$6.0 million in prepayments for maintenance, upgrades and development services related to Fictoiv, which are being amortized over the 12-month service period ending June 2027. The Company also had $3.0 million in prepayments for digital marketing services, which are being amortized over the service period from May through December 2026. The marketing services primarily consist of promotional content development, online advertising and marketing, and market research and analysis.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net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993" w:type="dxa"/>
        <w:jc w:val="left"/>
        <w:tblInd w:w="0" w:type="dxa"/>
        <w:tblLayout w:type="fixed"/>
        <w:tblCellMar>
          <w:top w:w="0" w:type="dxa"/>
          <w:left w:w="0" w:type="dxa"/>
          <w:bottom w:w="0" w:type="dxa"/>
          <w:right w:w="0" w:type="dxa"/>
        </w:tblCellMar>
      </w:tblPr>
      <w:tblGrid>
        <w:gridCol w:w="2990"/>
        <w:gridCol w:w="60"/>
        <w:gridCol w:w="187"/>
        <w:gridCol w:w="1017"/>
        <w:gridCol w:w="95"/>
        <w:gridCol w:w="60"/>
        <w:gridCol w:w="230"/>
        <w:gridCol w:w="1244"/>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14,190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14,190</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14,190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14,190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(13,414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(10,713</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shd w:fill="FFFFFF" w:val="clear"/>
            <w:tcMar>
              <w:bottom w:w="28" w:type="dxa"/>
            </w:tcMar>
            <w:vAlign w:val="center"/>
          </w:tcPr>
          <w:p>
            <w:pPr>
              <w:pStyle w:val="TableContents"/>
              <w:bidi w:val="0"/>
              <w:spacing w:before="0" w:after="283"/>
              <w:jc w:val="right"/>
              <w:rPr/>
            </w:pPr>
            <w:r>
              <w:rPr/>
              <w:t>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FFFFFF" w:val="clear"/>
            <w:tcMar>
              <w:bottom w:w="28" w:type="dxa"/>
            </w:tcMar>
            <w:vAlign w:val="center"/>
          </w:tcPr>
          <w:p>
            <w:pPr>
              <w:pStyle w:val="TableContents"/>
              <w:bidi w:val="0"/>
              <w:spacing w:before="0" w:after="283"/>
              <w:jc w:val="right"/>
              <w:rPr/>
            </w:pPr>
            <w:r>
              <w:rPr/>
              <w:t>3,477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the three months ended June 30, 2026 and 2025 amounted to $1,095 and $1,075, respectively. Depreciation expense for the six months ended June 30, 2026 and 2025 amounted to $2,701 and $2,152, respectively.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3005"/>
        <w:gridCol w:w="60"/>
        <w:gridCol w:w="140"/>
        <w:gridCol w:w="1100"/>
        <w:gridCol w:w="95"/>
        <w:gridCol w:w="60"/>
        <w:gridCol w:w="159"/>
        <w:gridCol w:w="1256"/>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unaudited</w:t>
            </w: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10,878,615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4,890,092</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Add: purchase of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5,988,523</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16,878,615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10,878,615</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(2,933,263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(2,184,403</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Accumulated impairment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(3,603,974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(3,603,974</w:t>
            </w:r>
          </w:p>
        </w:tc>
        <w:tc>
          <w:tcPr>
            <w:tcW w:w="11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10,341,378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5,090,238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and June 2026, the Company purchased two software – Fato and Fictoiv, at a price of $3.0 million each. Fato is an interactive storytelling application that allows users to influence the storyline through in-app choices, resulting in multiple possible narrative outcomes. Fictoiv is an AI-powered visual novel creation tool that enables users to create interactive visual novels with AI-generated content and branching storylines. The platform operates on a bring-your-own-key (BYOK) model, with project data stored locally on users’ devices.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for the three months ended June 30, 2026 and 2025 was $449,430 and $361,827, respectively. Amortization expense for the six months ended June 30, 2026 and 2025 was $748,860 and $424,227,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net book value of software copyrights was $10,341,378, after deducting accumulated amortization of $2,933,263 and accumulated impairment of $3,603,974. No impairment losses were recorded for the three and six months ended June 30, 2026 and 2025.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4565"/>
        <w:gridCol w:w="60"/>
        <w:gridCol w:w="154"/>
        <w:gridCol w:w="1216"/>
        <w:gridCol w:w="75"/>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Remaining of FY2026</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1,198,854</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FY2027</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2,397,708</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FY2028</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2,397,708</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FY2029</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2,397,708</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FY2030</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1,499,400</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Beyond FY2030</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450,000</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b/>
              </w:rPr>
            </w:pPr>
            <w:r>
              <w:rPr>
                <w:b/>
              </w:rPr>
              <w:t>Total future amortization of intangible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10,341,378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Other Payables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accrued liabilities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578" w:type="dxa"/>
        <w:jc w:val="left"/>
        <w:tblInd w:w="0" w:type="dxa"/>
        <w:tblLayout w:type="fixed"/>
        <w:tblCellMar>
          <w:top w:w="0" w:type="dxa"/>
          <w:left w:w="0" w:type="dxa"/>
          <w:bottom w:w="0" w:type="dxa"/>
          <w:right w:w="0" w:type="dxa"/>
        </w:tblCellMar>
      </w:tblPr>
      <w:tblGrid>
        <w:gridCol w:w="2705"/>
        <w:gridCol w:w="60"/>
        <w:gridCol w:w="179"/>
        <w:gridCol w:w="1025"/>
        <w:gridCol w:w="60"/>
        <w:gridCol w:w="60"/>
        <w:gridCol w:w="209"/>
        <w:gridCol w:w="12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Professional service fee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584,050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345,570</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Payroll</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16,847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57,226</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Advance from an investor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4,771</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Amounts due to a shareholder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4,091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608,015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507,745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60"/>
        <w:gridCol w:w="75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advance from one of the warrant shareholders for the exercise of prefunded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23, 2025, Green Oasis Limited, which at the time held less than 5% ownership shares in the Company, provided an interest-free loan of $100,000 to the Company, for working capital purposes, with maturity as of April 23, 2025. On April 25, 2025, Green Oasis Limited and the Company extended the maturity date to July 23, 2025. In July 2026 the loan was further extended to July 24, 2028 through an amendment agreement, and was reclassified in loan from a shareholder – non-current.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Related Party Balances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 related 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8"/>
        <w:gridCol w:w="60"/>
        <w:gridCol w:w="1888"/>
        <w:gridCol w:w="60"/>
        <w:gridCol w:w="3653"/>
        <w:gridCol w:w="60"/>
        <w:gridCol w:w="199"/>
        <w:gridCol w:w="975"/>
        <w:gridCol w:w="60"/>
        <w:gridCol w:w="60"/>
        <w:gridCol w:w="210"/>
        <w:gridCol w:w="1205"/>
        <w:gridCol w:w="77"/>
      </w:tblGrid>
      <w:tr>
        <w:trPr/>
        <w:tc>
          <w:tcPr>
            <w:tcW w:w="1698" w:type="dxa"/>
            <w:tcBorders>
              <w:bottom w:val="single" w:sz="12" w:space="0" w:color="000000"/>
            </w:tcBorders>
            <w:vAlign w:val="center"/>
          </w:tcPr>
          <w:p>
            <w:pPr>
              <w:pStyle w:val="TableContents"/>
              <w:bidi w:val="0"/>
              <w:spacing w:before="0" w:after="283"/>
              <w:jc w:val="left"/>
              <w:rPr>
                <w:b/>
              </w:rPr>
            </w:pPr>
            <w:r>
              <w:rPr>
                <w:b/>
              </w:rPr>
              <w:t>Name of related party</w:t>
            </w:r>
          </w:p>
        </w:tc>
        <w:tc>
          <w:tcPr>
            <w:tcW w:w="60" w:type="dxa"/>
            <w:tcBorders/>
            <w:tcMar>
              <w:bottom w:w="0" w:type="dxa"/>
            </w:tcMar>
            <w:vAlign w:val="center"/>
          </w:tcPr>
          <w:p>
            <w:pPr>
              <w:pStyle w:val="TableContents"/>
              <w:bidi w:val="0"/>
              <w:spacing w:before="0" w:after="283"/>
              <w:jc w:val="left"/>
              <w:rPr/>
            </w:pPr>
            <w:r>
              <w:rPr/>
              <w:t> </w:t>
            </w:r>
          </w:p>
        </w:tc>
        <w:tc>
          <w:tcPr>
            <w:tcW w:w="1888" w:type="dxa"/>
            <w:tcBorders>
              <w:bottom w:val="single" w:sz="12" w:space="0" w:color="000000"/>
            </w:tcBorders>
            <w:vAlign w:val="center"/>
          </w:tcPr>
          <w:p>
            <w:pPr>
              <w:pStyle w:val="TableContents"/>
              <w:bidi w:val="0"/>
              <w:spacing w:before="0" w:after="283"/>
              <w:jc w:val="center"/>
              <w:rPr>
                <w:b/>
              </w:rPr>
            </w:pPr>
            <w:r>
              <w:rPr>
                <w:b/>
              </w:rPr>
              <w:t>Relationship</w:t>
            </w:r>
          </w:p>
        </w:tc>
        <w:tc>
          <w:tcPr>
            <w:tcW w:w="60" w:type="dxa"/>
            <w:tcBorders/>
            <w:tcMar>
              <w:bottom w:w="0" w:type="dxa"/>
            </w:tcMar>
            <w:vAlign w:val="center"/>
          </w:tcPr>
          <w:p>
            <w:pPr>
              <w:pStyle w:val="TableContents"/>
              <w:bidi w:val="0"/>
              <w:spacing w:before="0" w:after="283"/>
              <w:jc w:val="left"/>
              <w:rPr/>
            </w:pPr>
            <w:r>
              <w:rPr/>
              <w:t> </w:t>
            </w:r>
          </w:p>
        </w:tc>
        <w:tc>
          <w:tcPr>
            <w:tcW w:w="3653" w:type="dxa"/>
            <w:tcBorders>
              <w:bottom w:val="single" w:sz="12" w:space="0" w:color="000000"/>
            </w:tcBorders>
            <w:vAlign w:val="center"/>
          </w:tcPr>
          <w:p>
            <w:pPr>
              <w:pStyle w:val="TableContents"/>
              <w:bidi w:val="0"/>
              <w:spacing w:before="0" w:after="283"/>
              <w:jc w:val="center"/>
              <w:rPr>
                <w:b/>
              </w:rPr>
            </w:pPr>
            <w:r>
              <w:rPr>
                <w:b/>
              </w:rPr>
              <w:t>Nature</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7" w:type="dxa"/>
            <w:tcBorders/>
            <w:tcMar>
              <w:bottom w:w="0" w:type="dxa"/>
            </w:tcMar>
            <w:vAlign w:val="center"/>
          </w:tcPr>
          <w:p>
            <w:pPr>
              <w:pStyle w:val="TableContents"/>
              <w:bidi w:val="0"/>
              <w:spacing w:before="0" w:after="283"/>
              <w:jc w:val="left"/>
              <w:rPr/>
            </w:pPr>
            <w:r>
              <w:rPr/>
              <w:t> </w:t>
            </w:r>
          </w:p>
        </w:tc>
      </w:tr>
      <w:tr>
        <w:trPr/>
        <w:tc>
          <w:tcPr>
            <w:tcW w:w="16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center"/>
              <w:rPr>
                <w:b/>
              </w:rPr>
            </w:pPr>
            <w:r>
              <w:rPr>
                <w:b/>
              </w:rPr>
              <w:t>(unaudited)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1698" w:type="dxa"/>
            <w:tcBorders/>
            <w:shd w:fill="CCEEFF" w:val="clear"/>
            <w:tcMar>
              <w:bottom w:w="0" w:type="dxa"/>
            </w:tcMar>
            <w:vAlign w:val="center"/>
          </w:tcPr>
          <w:p>
            <w:pPr>
              <w:pStyle w:val="TableContents"/>
              <w:bidi w:val="0"/>
              <w:spacing w:before="0" w:after="283"/>
              <w:jc w:val="left"/>
              <w:rPr/>
            </w:pPr>
            <w:r>
              <w:rPr/>
              <w:t>Xiaojian Wang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3" w:type="dxa"/>
            <w:tcBorders/>
            <w:shd w:fill="CCEEFF" w:val="clear"/>
            <w:tcMar>
              <w:bottom w:w="0" w:type="dxa"/>
            </w:tcMar>
            <w:vAlign w:val="center"/>
          </w:tcPr>
          <w:p>
            <w:pPr>
              <w:pStyle w:val="TableContents"/>
              <w:bidi w:val="0"/>
              <w:spacing w:before="0" w:after="283"/>
              <w:jc w:val="center"/>
              <w:rPr/>
            </w:pPr>
            <w:r>
              <w:rPr/>
              <w:t>Accrued compensations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975"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100,000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8" w:type="dxa"/>
            <w:tcBorders/>
            <w:shd w:fill="FFFFFF" w:val="clear"/>
            <w:tcMar>
              <w:bottom w:w="0" w:type="dxa"/>
            </w:tcMar>
            <w:vAlign w:val="center"/>
          </w:tcPr>
          <w:p>
            <w:pPr>
              <w:pStyle w:val="TableContents"/>
              <w:bidi w:val="0"/>
              <w:spacing w:before="0" w:after="283"/>
              <w:jc w:val="left"/>
              <w:rPr/>
            </w:pPr>
            <w:r>
              <w:rPr/>
              <w:t>Xiaojian Wang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left"/>
              <w:rPr/>
            </w:pPr>
            <w:r>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3" w:type="dxa"/>
            <w:tcBorders/>
            <w:shd w:fill="FFFFFF" w:val="clear"/>
            <w:tcMar>
              <w:bottom w:w="0" w:type="dxa"/>
            </w:tcMar>
            <w:vAlign w:val="center"/>
          </w:tcPr>
          <w:p>
            <w:pPr>
              <w:pStyle w:val="TableContents"/>
              <w:bidi w:val="0"/>
              <w:spacing w:before="0" w:after="283"/>
              <w:jc w:val="center"/>
              <w:rPr/>
            </w:pPr>
            <w:r>
              <w:rPr/>
              <w:t>Operating related fees paid on behalf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2,150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2,150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8" w:type="dxa"/>
            <w:tcBorders/>
            <w:shd w:fill="CCEEFF" w:val="clear"/>
            <w:tcMar>
              <w:bottom w:w="0" w:type="dxa"/>
            </w:tcMar>
            <w:vAlign w:val="center"/>
          </w:tcPr>
          <w:p>
            <w:pPr>
              <w:pStyle w:val="TableContents"/>
              <w:bidi w:val="0"/>
              <w:spacing w:before="0" w:after="283"/>
              <w:jc w:val="left"/>
              <w:rPr/>
            </w:pPr>
            <w:r>
              <w:rPr/>
              <w:t>Zihao Zhao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left"/>
              <w:rPr/>
            </w:pPr>
            <w:r>
              <w:rPr/>
              <w:t>Chief Finance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3" w:type="dxa"/>
            <w:tcBorders/>
            <w:shd w:fill="CCEEFF" w:val="clear"/>
            <w:tcMar>
              <w:bottom w:w="0" w:type="dxa"/>
            </w:tcMar>
            <w:vAlign w:val="center"/>
          </w:tcPr>
          <w:p>
            <w:pPr>
              <w:pStyle w:val="TableContents"/>
              <w:bidi w:val="0"/>
              <w:spacing w:before="0" w:after="283"/>
              <w:jc w:val="center"/>
              <w:rPr/>
            </w:pPr>
            <w:r>
              <w:rPr/>
              <w:t>Accrued compensations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60,833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8" w:type="dxa"/>
            <w:tcBorders/>
            <w:shd w:fill="FFFFFF" w:val="clear"/>
            <w:tcMar>
              <w:bottom w:w="0" w:type="dxa"/>
            </w:tcMar>
            <w:vAlign w:val="center"/>
          </w:tcPr>
          <w:p>
            <w:pPr>
              <w:pStyle w:val="TableContents"/>
              <w:bidi w:val="0"/>
              <w:spacing w:before="0" w:after="283"/>
              <w:jc w:val="left"/>
              <w:rPr/>
            </w:pPr>
            <w:r>
              <w:rPr/>
              <w:t>Zihao Zhao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left"/>
              <w:rPr/>
            </w:pPr>
            <w:r>
              <w:rPr/>
              <w:t>Chief Finance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3" w:type="dxa"/>
            <w:tcBorders/>
            <w:shd w:fill="FFFFFF" w:val="clear"/>
            <w:tcMar>
              <w:bottom w:w="0" w:type="dxa"/>
            </w:tcMar>
            <w:vAlign w:val="center"/>
          </w:tcPr>
          <w:p>
            <w:pPr>
              <w:pStyle w:val="TableContents"/>
              <w:bidi w:val="0"/>
              <w:spacing w:before="0" w:after="283"/>
              <w:jc w:val="center"/>
              <w:rPr/>
            </w:pPr>
            <w:r>
              <w:rPr/>
              <w:t>Reimbursement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2,096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single" w:sz="12" w:space="0" w:color="000000"/>
            </w:tcBorders>
            <w:shd w:fill="FFFFFF" w:val="clear"/>
            <w:vAlign w:val="center"/>
          </w:tcPr>
          <w:p>
            <w:pPr>
              <w:pStyle w:val="TableContents"/>
              <w:bidi w:val="0"/>
              <w:spacing w:before="0" w:after="283"/>
              <w:jc w:val="left"/>
              <w:rPr/>
            </w:pPr>
            <w:r>
              <w:rPr/>
              <w:t> </w:t>
            </w:r>
          </w:p>
        </w:tc>
        <w:tc>
          <w:tcPr>
            <w:tcW w:w="1205" w:type="dxa"/>
            <w:tcBorders>
              <w:bottom w:val="single" w:sz="12" w:space="0" w:color="000000"/>
            </w:tcBorders>
            <w:shd w:fill="FFFFFF" w:val="clear"/>
            <w:vAlign w:val="center"/>
          </w:tcPr>
          <w:p>
            <w:pPr>
              <w:pStyle w:val="TableContents"/>
              <w:bidi w:val="0"/>
              <w:spacing w:before="0" w:after="283"/>
              <w:jc w:val="right"/>
              <w:rPr/>
            </w:pPr>
            <w:r>
              <w:rPr/>
              <w:t>2,033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8"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75" w:type="dxa"/>
            <w:tcBorders>
              <w:bottom w:val="double" w:sz="10" w:space="0" w:color="000000"/>
            </w:tcBorders>
            <w:shd w:fill="CCEEFF" w:val="clear"/>
            <w:vAlign w:val="center"/>
          </w:tcPr>
          <w:p>
            <w:pPr>
              <w:pStyle w:val="TableContents"/>
              <w:bidi w:val="0"/>
              <w:spacing w:before="0" w:after="283"/>
              <w:jc w:val="right"/>
              <w:rPr>
                <w:b/>
              </w:rPr>
            </w:pPr>
            <w:r>
              <w:rPr>
                <w:b/>
              </w:rPr>
              <w:t>16,746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vAlign w:val="center"/>
          </w:tcPr>
          <w:p>
            <w:pPr>
              <w:pStyle w:val="TableContents"/>
              <w:bidi w:val="0"/>
              <w:spacing w:before="0" w:after="283"/>
              <w:jc w:val="right"/>
              <w:rPr>
                <w:b/>
              </w:rPr>
            </w:pPr>
            <w:r>
              <w:rPr>
                <w:b/>
              </w:rPr>
              <w:t>165,016</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Mr. Xiaojian Wang, the Chief Executive Officer of the Company (“CEO”), made advances of $310,000 to the Company through a loan agreement, these advances are non-interest bearing and due on demand. In May and June 2026, the Company fully repaid such advances, and there was no outstanding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balance of other payables - related parties were $16,746 and $165,016, respectively, mainly consisted of accrued compensation of the Company’s officers, interest - free advances received from the Company’s officers and operating related fees paid by the Company’s officer on behalf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and 2025, the Company recorded compensation expenses to its officers amounted to $37,500 and $32,036, respectively, for their services provided to the Company. For the six months ended June 30, 2026 and 2025, the Company recorded compensation expenses to its officers amounted to $75,000 and $52,036, respectively, for their services provided to the Company.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classified as operating leases or finance leases in accordance with ASC 842 Leases. The Company’s operating leases mainly related to the rights to use building and office facilities. For leases with terms greater than 12 months, the Company records the related asset and liability at the present value of lease payments over the term. Certain leases include rental escalation clauses, renewal options and/or termination options, which are factored into the Company’s determination of lease payments when appropriate.</w:t>
      </w:r>
    </w:p>
    <w:p>
      <w:pPr>
        <w:pStyle w:val="TextBody"/>
        <w:bidi w:val="0"/>
        <w:spacing w:before="0" w:after="0"/>
        <w:ind w:left="0" w:right="0" w:hanging="0"/>
        <w:jc w:val="both"/>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4115"/>
        <w:gridCol w:w="60"/>
        <w:gridCol w:w="139"/>
        <w:gridCol w:w="1065"/>
        <w:gridCol w:w="215"/>
        <w:gridCol w:w="60"/>
        <w:gridCol w:w="176"/>
        <w:gridCol w:w="1298"/>
        <w:gridCol w:w="230"/>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3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b/>
              </w:rPr>
            </w:pPr>
            <w:r>
              <w:rPr>
                <w:b/>
              </w:rPr>
              <w:t>Weighted average remaining lease term:</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 years</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rPr>
            </w:pPr>
            <w:r>
              <w:rPr>
                <w:b/>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Operating lease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7.54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7.54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for the operating leases where the Company is the lessee are presented as follows within the unaudited interim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4550"/>
        <w:gridCol w:w="60"/>
        <w:gridCol w:w="179"/>
        <w:gridCol w:w="1025"/>
        <w:gridCol w:w="60"/>
        <w:gridCol w:w="60"/>
        <w:gridCol w:w="183"/>
        <w:gridCol w:w="1291"/>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b/>
              </w:rPr>
            </w:pPr>
            <w:r>
              <w:rPr>
                <w:b/>
              </w:rPr>
              <w:t>Operating lease right-of-use assets, net</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844,000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pPr>
            <w:r>
              <w:rPr/>
              <w:t>987,988</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b/>
              </w:rPr>
            </w:pPr>
            <w:r>
              <w:rPr>
                <w:b/>
              </w:rPr>
              <w:t>Lease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371,885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353,648</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Non-current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607,512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781,216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pPr>
            <w:r>
              <w:rPr/>
              <w:t>979,397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1,134,864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2855"/>
        <w:gridCol w:w="60"/>
        <w:gridCol w:w="140"/>
        <w:gridCol w:w="980"/>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w:t>
              <w:br/>
              <w:t>Leases</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Remaining of FY2026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230,218</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FY2027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401,127</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FY2028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409,149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FY2029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34,605</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1,075,099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95,702</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Present value of lease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979,397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present value of future operating lease payments consisted of current portion of operating lease liabilities and non-current portion of operating lease liabilities, amounting to $371,885 and $607,512, respectively.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expense for all the Company’s operating leases for the three months ended June 30, 2026 and 2025 were $97,827 and $118,524, respectively. Lease payments for all the Company’s operating leases for the three months ended June 30, 2026 and 2025 were $97,827 and $155,461, respectively. Lease expense for all the Company’s operating leases for the six months ended June 30, 2026 and 2025 were $188,766 and $242,016, respectively. Lease payments for all the Company’s operating leases for the six months ended June 30, 2026 and 2025 were $97,827 and $320,117,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and 2025, the Company incurred $17,092 and $120,885 short-term lease expenses and the short-term lease payments were $7,875 and $273,740, respectively. For the six months ended June 30, 2026 and 2025, the Company incurred $119,050 and $167,622 short-term lease expenses and the short-term lease payments were $10,500 and $336,056,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December 1, 2025, the Company subleased partial of the lease office space to a third party for the remaining of the head lease term.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sublease income in accordance with the terms of the sublease agreement. Subsequent to the filing of the Company’s Quarterly Report for the three months ended March 31, 2026, the sublease agreement was terminated in April 2026. Following the termination of the sublease, the Company resumed making rental payments directly to the landlord under the head lease for the remainder of the lease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the Company recorded sublease income of $0 and $97,826, respectively, as other income on the accompanying unaudited interim condensed consolidated statements of operations and comprehensive loss. For the three and six months ended June 30, 2025, the Company did no have any sublease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annual shareholder meeting held on December 31, 2025, the Company’s shareholders approved a reverse stock split of the authorized and unauthorized capital stock of the Company, at a ratio ranging between 1-for-2 and 1-for-250, with the exact ratio to be determined by the board of directors of the Company (the “Board”) in its sole discretion, to be effected at any time prior to the one-year anniversary of the date of such stockholders’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2026, The Board approved effecting a 1-for-250 reverse stock split and authorized the filing of a Certificate of Change with the Secretary of State of Nevada. The Reverse Split became effective in accordance with the terms of the Certificate of Change on June 29, 2026. The Certificate of Change did not change the par value of common stock. As a result of the Reverse Split, the reduction in the aggregate par value of the Company’s issued and outstanding common stock was reclassified from common stock to additional paid-in capital. All references in these financial statements to shares, share prices, exercise prices, and other per share information in all periods have been adjusted, on a retroactive basis, to reflect the Reverse Split. The Reverse Split had no impact on the Company’s total 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Split, the Company’s outstanding warrants were proportionately adjusted on a 1-for-250 basis. Accordingly, the number of shares of common stock underlying the warrants and the related exercise prices were adjusted to reflect the Reverse Split. Following such adjustments, each warrant continues to be exercisable for one share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4, 2025, the Company entered into a securities purchase agreement (the “March 2025 Securities Purchase Agreement”) with certain investors for the sale of 4,462 shares of common stock at $224.09 per share (the “March 2025 Offering”), generating net proceeds in the amount of $910,000, after deducting underwriter’s fees of $70,000, equal to seven percent (7%) of the aggregate gross proceeds raised in this Offering and reimbursement of $20,000 for the underwriter’s legal counsel and due diligence analysis expense. The Company used the proceeds from the offering for working capital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 2025, the Company entered into a securities purchase agreement (the “May 2025 Securities Purchase Agreement”) with certain investors for the sale of 4,462 shares of common stock at approximately $131 per share and 37,523 pre-funded warrants (the “May 2025 Pre-Funded Warrants”) at approximately $130.75 per warrant (the “May 2025 Offering”). As of June 30, 2026, the Company received gross proceeds of approximately $4.5 million for subscription of 4,462 shares of its common stock and 29,875 pre-funded warrants. The offering remains ongoing and has not yet been fully completed. Transaction costs incurred through June 30, 2026 included underwriter’s fees of $314,343 and a $20,000 reimbursement for the underwriter’s legal counsel and due diligence expenses. The Company used the proceeds from the offering for working capital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2025, the Company entered into a software purchase agreement (the “Agreement”) with Gongzheng Xu and Qing Wang, who are unaffiliated with the Company at the time (collectively, the “GXQW”). Pursuant to the Agreement, the Company agreed to purchase and the GXQW agreed to sell all of GXQW’s right, title, and interest in and to the certain software (the “Chat Box”). The purchase price of the software shall be payable in the form of issuance of 9,777 shares of the Company’s common stock. On April 28, 2025, the Company issued 9,777 shares of its common stock to GXQW and the transaction was completed. The Company used the software to develop its AI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2025, the Company, Pallas and the Sellers executed the Share Exchange Agreement, pursuant to which, the Sellers wish to sell to the Acquirer, and the Acquirer wishes to purchase from the Sellers, 100% interest in and to the Target Shares. On September 29, 2025, in exchange for the Target Shares, the Company issued an aggregate of 156,757 shares of the Company’s common stock to such Sellers.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securities purchase agreements (the “October 2025 Securities Purchase Agreement”) with certain accredited investor, pursuant to which the Company agreed to issue and sell, in a private placement (the “October 2025 Private Placement”), an aggregate of 5,333 shares of the Company’s common stock at a purchase price of $525 per share, for gross proceeds in the amount of $2,800,000. The Company received net proceeds of approximately $2.5 million after deducting underwriter’s fees of $196,000 and other offering costs of $60,000. The Company used the proceeds from the offering for working capital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2026, the Company entered into an At-The-Market Issuance Sales Agreement (the “April 2026 Sales Agreement”) with the underwriter, under which the Company may issue and sell from time to time, shares of its common stock, having an aggregate offering price of not more than $300,000,000 through the underwriter (the “April 2026 At-the-Market Offering”). From May to June, 2026, the Company sold 2,882,249 shares of common stock in the April 2026 At-the-Market Offering, at the average offering price of approximately $15.6 per share, for aggregated net proceeds of approximately $42 million, after deducting placement agent fees and the estimated offering expenses payable by the Company. As of June 30, 2026, the Company received approximately $20.2 million under the April 2026 At-the-Market Offering, with the remaining of approximately $21.5 million held in a brokerage account of the   underwriter. Immediately subsequent to June 30, 2026, the Company received the $21.5 million proceeds in full from the brokerage account.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2026, the Company entered into a securities purchase agreement (the “June 2026 Purchase Agreement”) with certain institutional investors named thereto (the “Purchasers”), pursuant to which the Company agreed to issue and sell, in a registered direct offering (the “June 2026 Offering”) of an aggregate of 1,037,206 shares of the Company’s common stock, at a purchase price of $5.25 per share, for gross proceeds in the amount of approximately $5.45 million. The Company expects to receive net proceeds of approximately $4.9 million after deducting underwriter’s fees of $381,173 and other offering costs of $130,000. The Company used the proceeds from the offering for working capital purposes. As of June 30, 2026, the Company fully received the $4.9 million under the June 2026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total outstanding shares of the Company’s common stock were 4,162,500 and 229,278,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May 2025 Offering, the Company issued 29,875 shares of pre-funded warrants, which is exercisable immediately.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holders of 13,767 May 2025 Pre-Funded Warrants, exercised their options to purchase 13,767 shares of the Company’s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16,108   and 29,875prefunded warrants were outstanding,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warrant activities for the six months ended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2510"/>
        <w:gridCol w:w="60"/>
        <w:gridCol w:w="102"/>
        <w:gridCol w:w="1178"/>
        <w:gridCol w:w="60"/>
        <w:gridCol w:w="60"/>
        <w:gridCol w:w="96"/>
        <w:gridCol w:w="1094"/>
        <w:gridCol w:w="60"/>
        <w:gridCol w:w="60"/>
        <w:gridCol w:w="169"/>
        <w:gridCol w:w="826"/>
        <w:gridCol w:w="60"/>
        <w:gridCol w:w="60"/>
        <w:gridCol w:w="150"/>
        <w:gridCol w:w="1100"/>
        <w:gridCol w:w="7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Exercisable</w:t>
              <w:br/>
              <w:t>Into</w:t>
              <w:b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br/>
              <w:t>Average</w:t>
              <w:b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br/>
              <w:t>Remaining</w:t>
              <w:br/>
              <w:t>Contractual</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34,114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34,114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11,448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June 30, 2026 (unaudited)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20,347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11,515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warrant activities for the six months ended June 30, 2025 were as follows:</w:t>
      </w:r>
    </w:p>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2510"/>
        <w:gridCol w:w="60"/>
        <w:gridCol w:w="102"/>
        <w:gridCol w:w="1178"/>
        <w:gridCol w:w="60"/>
        <w:gridCol w:w="60"/>
        <w:gridCol w:w="96"/>
        <w:gridCol w:w="1094"/>
        <w:gridCol w:w="60"/>
        <w:gridCol w:w="60"/>
        <w:gridCol w:w="169"/>
        <w:gridCol w:w="826"/>
        <w:gridCol w:w="60"/>
        <w:gridCol w:w="60"/>
        <w:gridCol w:w="150"/>
        <w:gridCol w:w="1100"/>
        <w:gridCol w:w="7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Exercisable</w:t>
              <w:br/>
              <w:t>Into</w:t>
              <w:b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br/>
              <w:t>Average</w:t>
              <w:b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br/>
              <w:t>Remaining</w:t>
              <w:br/>
              <w:t>Contractual</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8,445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7,485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3.46</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29,875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29,875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4,206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June 30, 2025 (unaudited)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34,114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34,114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11,448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as a single segment and has one operating and reportable segment, Virtual Content Production. The Company’s Chief Executive Officer is the chief operating decision-maker (“CODM”). When making decisions about allocating resources and assessing the performance of the Company as a whole, CODM reviews operating metrics and unaudited interim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consolidated net income (loss) reported in the unaudited interim condensed consolidated statements of operations and comprehensive income (loss) is the measure of segment profitability, and consolidated total assets reported in the unaudited interim condensed consolidated balance sheets is the measure of segment assets. The CODM refers to consolidated operating results and financial condition when addressing strategic and operational matters and allocating resources. Significant expense categories regularly provided to and reviewed by the CODM are those presented in the unaudited interim condensed consolidated statements of operations and comprehensive income (loss). As substantially all of the Company’s long-lived assets are located in the United States, and substantially all of the Company’s expenses are incurred within the United States, no geographical segments are presented.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August 14, 2026, which is the date that the unaudited interim condensed consolidated financial statements were available to be issued. Based on this review, other than described below, the Company did not identify any subsequent event that would have required adjustment or disclosure in the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results of our operations and financial condition should be read in conjunction with our unaudited condensed consolidated financial statements, and the notes to those unaudited condensed consolidated financial statements that are included elsewhere in this Report. All monetary figures are presented in U.S. dollars,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Management’s Discussion and Analysis contains not only statements that are historical facts, but also statements that are forward-looking. Forward-looking statements are, by their very nature, uncertain and risky. These risks and uncertainties include international, national, and local general economic and market conditions; our ability to sustain, manage, or forecast growth; our ability to successfully make and integrate acquisitions; new product development and introduction; existing government regulations and changes in, or the failure to comply with, government regulations; adverse publicity; competition; the loss of significant customers or suppliers; fluctuations and difficulty in forecasting operating results; change in business strategy or development plans; business disruptions; the ability to attract and retain qualified personnel; the ability to protect technology; the risk of foreign currency exchange rate; and other risks that might be detailed from time to time in our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Although the forward-looking statements in this Report reflect the good faith judgment of our management, such statements can only be based on facts and factors currently known by them. Consequently, and because forward-looking statements are inherently subject to risks and uncertainties, the actual results and outcomes may differ materially from the results and outcomes discussed in the forward-looking statements. You are urged to carefully review and consider the various disclosures made by us in this report as we attempt to advise interested parties of the risks and factors that may affect our business, financial condition, and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 Culture Group Limited, is a Nevada corporation and a holding company. The Company currently conducts its operations through the Company and its subsidiary, AI Catalysis. The Company’s business focused on artificial intelligence-related initiatives using its existing artificial intelligence and virtual content generation technologies. In May and June 2026, the Company purchased two software – Fato and Fictoiv, at a price of $3.0 million each. Fato is an interactive storytelling application that allows users to influence the storyline through in-app choices, resulting in multiple possible narrative outcomes. Fictoiv is an AI-powered visual novel creation tool that enables users to create interactive visual novels with AI-generated content and branching storylines. The platform operates on a bring-your-own-key (BYOK) model, with project data stored locally on users’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shareholder meeting held on December 31, 2025, the Company’s shareholders approved a reverse stock split of the authorized and unauthorized capital stock of the Company, at a ratio ranging between 1-for-2 and 1-for-250, with the exact ratio to be determined by the board of directors of the Company (the “Board”) in its sole discretion, to be effected at any time prior to the one-year anniversary of the date of such stockholders’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Board approved effecting a 1-for-250 reverse stock split and authorized the filing of a Certificate of Change with the Secretary of State of Nevada. The Reverse Split became effective in accordance with the terms of the Certificate of Change on June 29, 2026. The Certificate of Change did not change the par value of common stock. All references in these financial statements to shares, share prices, exercise prices, and other per share information in all periods have been adjusted, on a retroactive basis, to reflect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Split, the Company’s outstanding warrants were proportionately adjusted on a 1-for-250 basis. Accordingly, the number of shares of common stock underlying the warrants and the related exercise prices were adjusted to reflect the Reverse Split. Following such adjustments, each warrant continues to be exercisable for one share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2025, the Company entered into a securities purchase agreement (the “May 2025 Securities Purchase Agreement”) with certain investors for the sale of 4,462 shares of common stock at approximately $131 per share and 37,523 pre-funded warrants (the “May 2025 Pre-Funded Warrants”) at approximately $130.75 per warrant (the “May 2025 Offering”). As of June 30, 2026, the Company received gross proceeds of approximately $4.5 million for subscription of 4,462 shares of its common stock and 29,875 pre-funded warrants. The offering remains ongoing and has not yet been fully completed. Transaction costs incurred through June 30, 2026 included underwriter’s fees of $314,343 and a $20,000 reimbursement for the underwriter’s legal counsel and due diligence expenses. The Company used the proceeds from the offering for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entered into an At-The-Market Issuance Sales Agreement (the “April 2026 Sales Agreement”) with the underwriter, under which the Company may issue and sell from time to time, shares of its common stock, having an aggregate offering price of not more than $300,000,000 through the underwriter (the “April 2026 At-the-Market Offering”). From May to June, 2026, the Company sold 2,882,249 shares of common stock in the April 2026 At-the-Market Offering, at the average offering price of approximately $15.6 per share, for aggregated net proceeds of approximately $42 million, after deducting placement agent fees and the estimated offering expenses payable by the Company. As of June 30, 2026, the Company received $20.2 million under the April 2026 At-the-Market Offering, with the remaining of approximately $21.5 million held in a brokerage account of the underwriter. Up to the date the unaudited condensed consolidated financial statements were issued, the Company received the $21.5 million proceeds in full from the brokerage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the Company entered into a securities purchase agreement (the “June 2026 Purchase Agreement”) with certain institutional investors named thereto (the “Purchasers”), pursuant to which the Company agreed to issue and sell, in a registered direct offering (the “June 2026 Offering”) of an aggregate of 1,037,206 shares of the Company’s common stock, at a purchase price of $5.25 per share, for gross proceeds in the amount of approximately $5.45 million. The Company expects to receive net proceeds of approximately $4.9 million after deducting underwriter’s fees of $50,000 and other offering costs of $80,000. The Company used the proceeds from the offering for working capital purposes. As of June 30, 2026, the Company fully received the $4.9 million under the June 2026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Software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acquired the software copyright of Fato: Interactive Novel (“Fato”) from Dragon Cliff Limited for cash consideration of $3.0 million. Fato is an interactive novel game application that was launched on the Apple App Store in May 2026. The software copyright was available for its intended use upon launch, and the Company commenced amortization of the software copyright in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acquired the software copyright of Fictoiv from Lioness Limited for cash consideration of $3.0 million. Fictoiv is an AI-powered visual novel creation software that was launched on the itch.io platform. The software copyright was available for its intended use in June 2026, and the Company commenced amortization of the software copyright in June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influenced by several factors related to the development of our interactive reading and narrative entertainment platform and our ongoing strategic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Early-Stage Development of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the early stages of developing our interactive reading and narrative entertainment platform. Because the platform has not yet been commercially launched, our revenues from this business are currently limited or may be limited in the near term. Our operating results may fluctuate as we continue to refine the platform’s technology, features, and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Technology and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platform requires continued investment in technology infrastructure, artificial intelligence capabilities, and product development. As a result, we expect to incur expenses related to research and development, engineering, and platform infrastructure as we continue to build and enhance the platform. The timing and magnitude of these investments may affect our operating expenses and overall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Attract Creators and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platform will depend in part on our ability to attract creators who can develop interactive narrative content and to grow a base of active users who engage with such content. Our operating results may be affected by the level of creator participation, the quantity and quality of available content, and user engagement 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Monetization and Market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revenues will depend on our ability to effectively monetize the platform and achieve market acceptance of our products and services. Potential revenue streams may include platform services, content distribution, or other digital content-related activities. However, the market for interactive narrative and AI-enabled content platforms is evolving, and there can be no assurance that our platform will achieve significant user adoption or generate meaningful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 2026 vs.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2"/>
        <w:gridCol w:w="60"/>
        <w:gridCol w:w="62"/>
        <w:gridCol w:w="1224"/>
        <w:gridCol w:w="98"/>
        <w:gridCol w:w="62"/>
        <w:gridCol w:w="62"/>
        <w:gridCol w:w="1099"/>
        <w:gridCol w:w="95"/>
        <w:gridCol w:w="60"/>
        <w:gridCol w:w="60"/>
        <w:gridCol w:w="1175"/>
        <w:gridCol w:w="95"/>
        <w:gridCol w:w="60"/>
        <w:gridCol w:w="69"/>
        <w:gridCol w:w="1076"/>
        <w:gridCol w:w="336"/>
      </w:tblGrid>
      <w:tr>
        <w:trPr/>
        <w:tc>
          <w:tcPr>
            <w:tcW w:w="45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336" w:type="dxa"/>
            <w:tcBorders/>
            <w:vAlign w:val="center"/>
          </w:tcPr>
          <w:p>
            <w:pPr>
              <w:pStyle w:val="TableContents"/>
              <w:bidi w:val="0"/>
              <w:spacing w:before="0" w:after="283"/>
              <w:jc w:val="left"/>
              <w:rPr/>
            </w:pPr>
            <w:r>
              <w:rPr/>
              <w:t> </w:t>
            </w:r>
          </w:p>
        </w:tc>
      </w:tr>
      <w:tr>
        <w:trPr/>
        <w:tc>
          <w:tcPr>
            <w:tcW w:w="45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36" w:type="dxa"/>
            <w:tcBorders/>
            <w:vAlign w:val="center"/>
          </w:tcPr>
          <w:p>
            <w:pPr>
              <w:pStyle w:val="TableContents"/>
              <w:bidi w:val="0"/>
              <w:spacing w:before="0" w:after="283"/>
              <w:jc w:val="left"/>
              <w:rPr/>
            </w:pPr>
            <w:r>
              <w:rPr/>
              <w:t> </w:t>
            </w:r>
          </w:p>
        </w:tc>
      </w:tr>
      <w:tr>
        <w:trPr/>
        <w:tc>
          <w:tcPr>
            <w:tcW w:w="4512"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(1,000,000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233.3</w:t>
            </w:r>
          </w:p>
        </w:tc>
        <w:tc>
          <w:tcPr>
            <w:tcW w:w="336" w:type="dxa"/>
            <w:tcBorders/>
            <w:shd w:fill="CCEEFF" w:val="clear"/>
            <w:vAlign w:val="center"/>
          </w:tcPr>
          <w:p>
            <w:pPr>
              <w:pStyle w:val="TableContents"/>
              <w:bidi w:val="0"/>
              <w:spacing w:before="0" w:after="283"/>
              <w:jc w:val="left"/>
              <w:rPr/>
            </w:pPr>
            <w:r>
              <w:rPr/>
              <w:t>%</w:t>
            </w:r>
          </w:p>
        </w:tc>
      </w:tr>
      <w:tr>
        <w:trPr/>
        <w:tc>
          <w:tcPr>
            <w:tcW w:w="4512"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(1,296,954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(1,022,730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(274,224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26.8</w:t>
            </w:r>
          </w:p>
        </w:tc>
        <w:tc>
          <w:tcPr>
            <w:tcW w:w="336" w:type="dxa"/>
            <w:tcBorders/>
            <w:shd w:fill="FFFFFF" w:val="clear"/>
            <w:vAlign w:val="center"/>
          </w:tcPr>
          <w:p>
            <w:pPr>
              <w:pStyle w:val="TableContents"/>
              <w:bidi w:val="0"/>
              <w:spacing w:before="0" w:after="283"/>
              <w:jc w:val="left"/>
              <w:rPr/>
            </w:pPr>
            <w:r>
              <w:rPr/>
              <w:t>%</w:t>
            </w:r>
          </w:p>
        </w:tc>
      </w:tr>
      <w:tr>
        <w:trPr/>
        <w:tc>
          <w:tcPr>
            <w:tcW w:w="4512" w:type="dxa"/>
            <w:tcBorders/>
            <w:shd w:fill="CCEEFF" w:val="clear"/>
            <w:vAlign w:val="center"/>
          </w:tcPr>
          <w:p>
            <w:pPr>
              <w:pStyle w:val="TableContents"/>
              <w:bidi w:val="0"/>
              <w:spacing w:before="0" w:after="283"/>
              <w:jc w:val="left"/>
              <w:rPr/>
            </w:pPr>
            <w:r>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(553,000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(233,333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(319,667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137.0</w:t>
            </w:r>
          </w:p>
        </w:tc>
        <w:tc>
          <w:tcPr>
            <w:tcW w:w="336" w:type="dxa"/>
            <w:tcBorders/>
            <w:shd w:fill="CCEEFF" w:val="clear"/>
            <w:vAlign w:val="center"/>
          </w:tcPr>
          <w:p>
            <w:pPr>
              <w:pStyle w:val="TableContents"/>
              <w:bidi w:val="0"/>
              <w:spacing w:before="0" w:after="283"/>
              <w:jc w:val="left"/>
              <w:rPr/>
            </w:pPr>
            <w:r>
              <w:rPr/>
              <w:t>%</w:t>
            </w:r>
          </w:p>
        </w:tc>
      </w:tr>
      <w:tr>
        <w:trPr/>
        <w:tc>
          <w:tcPr>
            <w:tcW w:w="4512"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b/>
              </w:rPr>
            </w:pPr>
            <w:r>
              <w:rPr>
                <w:b/>
              </w:rPr>
              <w:t>(2,849,954</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b/>
              </w:rPr>
            </w:pPr>
            <w:r>
              <w:rPr>
                <w:b/>
              </w:rPr>
              <w:t>(1,556,063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(1,293,891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b/>
              </w:rPr>
            </w:pPr>
            <w:r>
              <w:rPr>
                <w:b/>
              </w:rPr>
              <w:t>83.2</w:t>
            </w:r>
          </w:p>
        </w:tc>
        <w:tc>
          <w:tcPr>
            <w:tcW w:w="336" w:type="dxa"/>
            <w:tcBorders/>
            <w:shd w:fill="FFFFFF" w:val="clear"/>
            <w:vAlign w:val="center"/>
          </w:tcPr>
          <w:p>
            <w:pPr>
              <w:pStyle w:val="TableContents"/>
              <w:bidi w:val="0"/>
              <w:spacing w:before="0" w:after="283"/>
              <w:jc w:val="left"/>
              <w:rPr>
                <w:b/>
              </w:rPr>
            </w:pPr>
            <w:r>
              <w:rPr>
                <w:b/>
              </w:rPr>
              <w:t>%</w:t>
            </w:r>
          </w:p>
        </w:tc>
      </w:tr>
      <w:tr>
        <w:trPr/>
        <w:tc>
          <w:tcPr>
            <w:tcW w:w="4512" w:type="dxa"/>
            <w:tcBorders/>
            <w:shd w:fill="CCEEFF" w:val="clear"/>
            <w:vAlign w:val="center"/>
          </w:tcPr>
          <w:p>
            <w:pPr>
              <w:pStyle w:val="TableContents"/>
              <w:bidi w:val="0"/>
              <w:spacing w:before="0" w:after="283"/>
              <w:jc w:val="left"/>
              <w:rPr/>
            </w:pPr>
            <w:r>
              <w:rPr/>
              <w:t>Other (expenses) income,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r>
      <w:tr>
        <w:trPr/>
        <w:tc>
          <w:tcPr>
            <w:tcW w:w="4512"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(100.0</w:t>
            </w:r>
          </w:p>
        </w:tc>
        <w:tc>
          <w:tcPr>
            <w:tcW w:w="336" w:type="dxa"/>
            <w:tcBorders/>
            <w:shd w:fill="FFFFFF" w:val="clear"/>
            <w:vAlign w:val="center"/>
          </w:tcPr>
          <w:p>
            <w:pPr>
              <w:pStyle w:val="TableContents"/>
              <w:bidi w:val="0"/>
              <w:spacing w:before="0" w:after="283"/>
              <w:jc w:val="left"/>
              <w:rPr/>
            </w:pPr>
            <w:r>
              <w:rPr/>
              <w:t>)%</w:t>
            </w:r>
          </w:p>
        </w:tc>
      </w:tr>
      <w:tr>
        <w:trPr/>
        <w:tc>
          <w:tcPr>
            <w:tcW w:w="4512" w:type="dxa"/>
            <w:tcBorders/>
            <w:shd w:fill="CCEEFF" w:val="clear"/>
            <w:vAlign w:val="center"/>
          </w:tcPr>
          <w:p>
            <w:pPr>
              <w:pStyle w:val="TableContents"/>
              <w:bidi w:val="0"/>
              <w:spacing w:before="0" w:after="283"/>
              <w:jc w:val="left"/>
              <w:rPr/>
            </w:pPr>
            <w:r>
              <w:rPr/>
              <w:t>Unrealized loss on fair value changes of digital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(49,281,243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(49,281,243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100.0</w:t>
            </w:r>
          </w:p>
        </w:tc>
        <w:tc>
          <w:tcPr>
            <w:tcW w:w="336" w:type="dxa"/>
            <w:tcBorders/>
            <w:shd w:fill="CCEEFF" w:val="clear"/>
            <w:vAlign w:val="center"/>
          </w:tcPr>
          <w:p>
            <w:pPr>
              <w:pStyle w:val="TableContents"/>
              <w:bidi w:val="0"/>
              <w:spacing w:before="0" w:after="283"/>
              <w:jc w:val="left"/>
              <w:rPr/>
            </w:pPr>
            <w:r>
              <w:rPr/>
              <w:t>%</w:t>
            </w:r>
          </w:p>
        </w:tc>
      </w:tr>
      <w:tr>
        <w:trPr/>
        <w:tc>
          <w:tcPr>
            <w:tcW w:w="4512" w:type="dxa"/>
            <w:tcBorders/>
            <w:shd w:fill="FFFFFF" w:val="clear"/>
            <w:vAlign w:val="center"/>
          </w:tcPr>
          <w:p>
            <w:pPr>
              <w:pStyle w:val="TableContents"/>
              <w:bidi w:val="0"/>
              <w:spacing w:before="0" w:after="283"/>
              <w:jc w:val="left"/>
              <w:rPr/>
            </w:pPr>
            <w:r>
              <w:rPr/>
              <w:t>Realized gain (loss) on fair value changes of digital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(28,799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100.0</w:t>
            </w:r>
          </w:p>
        </w:tc>
        <w:tc>
          <w:tcPr>
            <w:tcW w:w="336" w:type="dxa"/>
            <w:tcBorders/>
            <w:shd w:fill="FFFFFF" w:val="clear"/>
            <w:vAlign w:val="center"/>
          </w:tcPr>
          <w:p>
            <w:pPr>
              <w:pStyle w:val="TableContents"/>
              <w:bidi w:val="0"/>
              <w:spacing w:before="0" w:after="283"/>
              <w:jc w:val="left"/>
              <w:rPr/>
            </w:pPr>
            <w:r>
              <w:rPr/>
              <w:t>%</w:t>
            </w:r>
          </w:p>
        </w:tc>
      </w:tr>
      <w:tr>
        <w:trPr/>
        <w:tc>
          <w:tcPr>
            <w:tcW w:w="4512" w:type="dxa"/>
            <w:tcBorders/>
            <w:shd w:fill="CCEEFF" w:val="clear"/>
            <w:vAlign w:val="center"/>
          </w:tcPr>
          <w:p>
            <w:pPr>
              <w:pStyle w:val="TableContents"/>
              <w:bidi w:val="0"/>
              <w:spacing w:before="0" w:after="283"/>
              <w:jc w:val="left"/>
              <w:rPr>
                <w:b/>
              </w:rPr>
            </w:pPr>
            <w:r>
              <w:rPr>
                <w:b/>
              </w:rPr>
              <w:t>Other (expenses) income,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b/>
              </w:rPr>
            </w:pPr>
            <w:r>
              <w:rPr>
                <w:b/>
              </w:rPr>
              <w:t>(49,310,042</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b/>
              </w:rPr>
            </w:pPr>
            <w:r>
              <w:rPr>
                <w:b/>
              </w:rPr>
              <w:t>2,179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(49,312,221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b/>
              </w:rPr>
            </w:pPr>
            <w:r>
              <w:rPr>
                <w:b/>
              </w:rPr>
              <w:t>(2263067</w:t>
            </w:r>
          </w:p>
        </w:tc>
        <w:tc>
          <w:tcPr>
            <w:tcW w:w="336" w:type="dxa"/>
            <w:tcBorders/>
            <w:shd w:fill="CCEEFF" w:val="clear"/>
            <w:vAlign w:val="center"/>
          </w:tcPr>
          <w:p>
            <w:pPr>
              <w:pStyle w:val="TableContents"/>
              <w:bidi w:val="0"/>
              <w:spacing w:before="0" w:after="283"/>
              <w:jc w:val="left"/>
              <w:rPr>
                <w:b/>
              </w:rPr>
            </w:pPr>
            <w:r>
              <w:rPr>
                <w:b/>
              </w:rPr>
              <w:t>)%</w:t>
            </w:r>
          </w:p>
        </w:tc>
      </w:tr>
      <w:tr>
        <w:trPr/>
        <w:tc>
          <w:tcPr>
            <w:tcW w:w="4512" w:type="dxa"/>
            <w:tcBorders/>
            <w:shd w:fill="FFFFFF" w:val="clear"/>
            <w:vAlign w:val="center"/>
          </w:tcPr>
          <w:p>
            <w:pPr>
              <w:pStyle w:val="TableContents"/>
              <w:bidi w:val="0"/>
              <w:spacing w:before="0" w:after="283"/>
              <w:jc w:val="left"/>
              <w:rPr>
                <w:b/>
              </w:rPr>
            </w:pPr>
            <w:r>
              <w:rPr>
                <w:b/>
              </w:rPr>
              <w:t>Loss before income tax</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b/>
              </w:rPr>
            </w:pPr>
            <w:r>
              <w:rPr>
                <w:b/>
              </w:rPr>
              <w:t>(52,159,996</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b/>
              </w:rPr>
            </w:pPr>
            <w:r>
              <w:rPr>
                <w:b/>
              </w:rPr>
              <w:t>(1,553,884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(50,606,112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b/>
              </w:rPr>
            </w:pPr>
            <w:r>
              <w:rPr>
                <w:b/>
              </w:rPr>
              <w:t>3256.7</w:t>
            </w:r>
          </w:p>
        </w:tc>
        <w:tc>
          <w:tcPr>
            <w:tcW w:w="336" w:type="dxa"/>
            <w:tcBorders/>
            <w:shd w:fill="FFFFFF" w:val="clear"/>
            <w:vAlign w:val="center"/>
          </w:tcPr>
          <w:p>
            <w:pPr>
              <w:pStyle w:val="TableContents"/>
              <w:bidi w:val="0"/>
              <w:spacing w:before="0" w:after="283"/>
              <w:jc w:val="left"/>
              <w:rPr>
                <w:b/>
              </w:rPr>
            </w:pPr>
            <w:r>
              <w:rPr>
                <w:b/>
              </w:rPr>
              <w:t>%</w:t>
            </w:r>
          </w:p>
        </w:tc>
      </w:tr>
      <w:tr>
        <w:trPr/>
        <w:tc>
          <w:tcPr>
            <w:tcW w:w="4512"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1,947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54,830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(96.4</w:t>
            </w:r>
          </w:p>
        </w:tc>
        <w:tc>
          <w:tcPr>
            <w:tcW w:w="336" w:type="dxa"/>
            <w:tcBorders/>
            <w:shd w:fill="CCEEFF" w:val="clear"/>
            <w:vAlign w:val="center"/>
          </w:tcPr>
          <w:p>
            <w:pPr>
              <w:pStyle w:val="TableContents"/>
              <w:bidi w:val="0"/>
              <w:spacing w:before="0" w:after="283"/>
              <w:jc w:val="left"/>
              <w:rPr/>
            </w:pPr>
            <w:r>
              <w:rPr/>
              <w:t>)%</w:t>
            </w:r>
          </w:p>
        </w:tc>
      </w:tr>
      <w:tr>
        <w:trPr/>
        <w:tc>
          <w:tcPr>
            <w:tcW w:w="451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(52,158,049</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(1,499,054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(50,658,995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3379.4</w:t>
            </w:r>
          </w:p>
        </w:tc>
        <w:tc>
          <w:tcPr>
            <w:tcW w:w="336" w:type="dxa"/>
            <w:tcBorders/>
            <w:shd w:fill="FFFFFF" w:val="clear"/>
            <w:vAlign w:val="center"/>
          </w:tcPr>
          <w:p>
            <w:pPr>
              <w:pStyle w:val="TableContents"/>
              <w:bidi w:val="0"/>
              <w:spacing w:before="0" w:after="283"/>
              <w:jc w:val="left"/>
              <w:rPr>
                <w:b/>
              </w:rPr>
            </w:pPr>
            <w:r>
              <w:rPr>
                <w:b/>
              </w:rPr>
              <w:t>%</w:t>
            </w:r>
          </w:p>
        </w:tc>
      </w:tr>
      <w:tr>
        <w:trPr/>
        <w:tc>
          <w:tcPr>
            <w:tcW w:w="4512"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336" w:type="dxa"/>
            <w:tcBorders/>
            <w:shd w:fill="CCEEFF" w:val="clear"/>
            <w:vAlign w:val="center"/>
          </w:tcPr>
          <w:p>
            <w:pPr>
              <w:pStyle w:val="TableContents"/>
              <w:bidi w:val="0"/>
              <w:spacing w:before="0" w:after="283"/>
              <w:jc w:val="left"/>
              <w:rPr/>
            </w:pPr>
            <w:r>
              <w:rPr/>
              <w:t> </w:t>
            </w:r>
          </w:p>
        </w:tc>
      </w:tr>
      <w:tr>
        <w:trPr/>
        <w:tc>
          <w:tcPr>
            <w:tcW w:w="4512" w:type="dxa"/>
            <w:tcBorders/>
            <w:shd w:fill="FFFFFF" w:val="clear"/>
            <w:vAlign w:val="center"/>
          </w:tcPr>
          <w:p>
            <w:pPr>
              <w:pStyle w:val="TableContents"/>
              <w:bidi w:val="0"/>
              <w:spacing w:before="0" w:after="283"/>
              <w:jc w:val="left"/>
              <w:rPr/>
            </w:pPr>
            <w:r>
              <w:rPr/>
              <w:t>Net loss attributable to GD Culture Group Limited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(52,158,049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(1,499,054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(50,658,995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3379.4</w:t>
            </w:r>
          </w:p>
        </w:tc>
        <w:tc>
          <w:tcPr>
            <w:tcW w:w="3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expenses include selling and marketing expenses(“S&amp;M”), general and administrative (“G&amp;A”) expenses, research and development (“R&amp;D”) expenses. S&amp;M expenses increased by $700,000 from $300,000 for the three months ended June 30, 2025 to $1,000,000 for the three months ended June 30, 2026. The increase was mainly rise in brand marketing expenses and the Company’s increased inputs on marketing and advertising for its interactive reading and narrative entertainment platform. G&amp;A expenses increased by $274,224 from $1,022,730 for the three months ended June 30, 2025 to $1,296,954 for the three months ended June 30, 2026. The increase was mainly due to the increase in the amortization of intangible assets. R&amp;D expenses increased to $553,000 for the three months ended June 30, 2026, compared to $233,333 for the three months ended June 30, 2025. The increase was mainly due to the Company increased inputs on research and development about its interactive fiction—story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expenses increased to $49,310,042 during the three months ended June 30, 2026, compared to other income of $2,179 for the three months ended June 30, 2025. The increase was mainly due to the unrealized loss on fair value changes of digital assets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 increased by approximately $50.7 million, or 3379.4%, to approximately $52.2 million, for the three months ended June 30, 2026, from approximately $1.5 million for the three months ended June 30, 2025. The increase was primarily driven by the unrealized loss on fair value changes of digital assets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2026 vs.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44"/>
        <w:gridCol w:w="60"/>
        <w:gridCol w:w="60"/>
        <w:gridCol w:w="1295"/>
        <w:gridCol w:w="95"/>
        <w:gridCol w:w="60"/>
        <w:gridCol w:w="60"/>
        <w:gridCol w:w="1055"/>
        <w:gridCol w:w="95"/>
        <w:gridCol w:w="60"/>
        <w:gridCol w:w="60"/>
        <w:gridCol w:w="1295"/>
        <w:gridCol w:w="95"/>
        <w:gridCol w:w="60"/>
        <w:gridCol w:w="60"/>
        <w:gridCol w:w="1115"/>
        <w:gridCol w:w="336"/>
      </w:tblGrid>
      <w:tr>
        <w:trPr/>
        <w:tc>
          <w:tcPr>
            <w:tcW w:w="4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336" w:type="dxa"/>
            <w:tcBorders/>
            <w:vAlign w:val="center"/>
          </w:tcPr>
          <w:p>
            <w:pPr>
              <w:pStyle w:val="TableContents"/>
              <w:bidi w:val="0"/>
              <w:spacing w:before="0" w:after="283"/>
              <w:jc w:val="left"/>
              <w:rPr/>
            </w:pPr>
            <w:r>
              <w:rPr/>
              <w:t> </w:t>
            </w:r>
          </w:p>
        </w:tc>
      </w:tr>
      <w:tr>
        <w:trPr/>
        <w:tc>
          <w:tcPr>
            <w:tcW w:w="4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36" w:type="dxa"/>
            <w:tcBorders/>
            <w:vAlign w:val="center"/>
          </w:tcPr>
          <w:p>
            <w:pPr>
              <w:pStyle w:val="TableContents"/>
              <w:bidi w:val="0"/>
              <w:spacing w:before="0" w:after="283"/>
              <w:jc w:val="left"/>
              <w:rPr/>
            </w:pPr>
            <w:r>
              <w:rPr/>
              <w:t> </w:t>
            </w:r>
          </w:p>
        </w:tc>
      </w:tr>
      <w:tr>
        <w:trPr/>
        <w:tc>
          <w:tcPr>
            <w:tcW w:w="4344"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233.3</w:t>
            </w:r>
          </w:p>
        </w:tc>
        <w:tc>
          <w:tcPr>
            <w:tcW w:w="336" w:type="dxa"/>
            <w:tcBorders/>
            <w:shd w:fill="CCEEFF" w:val="clear"/>
            <w:vAlign w:val="center"/>
          </w:tcPr>
          <w:p>
            <w:pPr>
              <w:pStyle w:val="TableContents"/>
              <w:bidi w:val="0"/>
              <w:spacing w:before="0" w:after="283"/>
              <w:jc w:val="left"/>
              <w:rPr/>
            </w:pPr>
            <w:r>
              <w:rPr/>
              <w:t>%</w:t>
            </w:r>
          </w:p>
        </w:tc>
      </w:tr>
      <w:tr>
        <w:trPr/>
        <w:tc>
          <w:tcPr>
            <w:tcW w:w="434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(2,643,758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(1,960,607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(683,151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34.8</w:t>
            </w:r>
          </w:p>
        </w:tc>
        <w:tc>
          <w:tcPr>
            <w:tcW w:w="336" w:type="dxa"/>
            <w:tcBorders/>
            <w:shd w:fill="FFFFFF" w:val="clear"/>
            <w:vAlign w:val="center"/>
          </w:tcPr>
          <w:p>
            <w:pPr>
              <w:pStyle w:val="TableContents"/>
              <w:bidi w:val="0"/>
              <w:spacing w:before="0" w:after="283"/>
              <w:jc w:val="left"/>
              <w:rPr/>
            </w:pPr>
            <w:r>
              <w:rPr/>
              <w:t>%</w:t>
            </w:r>
          </w:p>
        </w:tc>
      </w:tr>
      <w:tr>
        <w:trPr/>
        <w:tc>
          <w:tcPr>
            <w:tcW w:w="4344" w:type="dxa"/>
            <w:tcBorders/>
            <w:shd w:fill="CCEEFF" w:val="clear"/>
            <w:vAlign w:val="center"/>
          </w:tcPr>
          <w:p>
            <w:pPr>
              <w:pStyle w:val="TableContents"/>
              <w:bidi w:val="0"/>
              <w:spacing w:before="0" w:after="283"/>
              <w:jc w:val="left"/>
              <w:rPr/>
            </w:pPr>
            <w:r>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(622,667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266.9</w:t>
            </w:r>
          </w:p>
        </w:tc>
        <w:tc>
          <w:tcPr>
            <w:tcW w:w="336" w:type="dxa"/>
            <w:tcBorders/>
            <w:shd w:fill="CCEEFF" w:val="clear"/>
            <w:vAlign w:val="center"/>
          </w:tcPr>
          <w:p>
            <w:pPr>
              <w:pStyle w:val="TableContents"/>
              <w:bidi w:val="0"/>
              <w:spacing w:before="0" w:after="283"/>
              <w:jc w:val="left"/>
              <w:rPr/>
            </w:pPr>
            <w:r>
              <w:rPr/>
              <w:t>%</w:t>
            </w:r>
          </w:p>
        </w:tc>
      </w:tr>
      <w:tr>
        <w:trPr/>
        <w:tc>
          <w:tcPr>
            <w:tcW w:w="4344"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(4,499,758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(2,493,940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(2,005,818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b/>
              </w:rPr>
            </w:pPr>
            <w:r>
              <w:rPr>
                <w:b/>
              </w:rPr>
              <w:t>80.4</w:t>
            </w:r>
          </w:p>
        </w:tc>
        <w:tc>
          <w:tcPr>
            <w:tcW w:w="336" w:type="dxa"/>
            <w:tcBorders/>
            <w:shd w:fill="FFFFFF" w:val="clear"/>
            <w:vAlign w:val="center"/>
          </w:tcPr>
          <w:p>
            <w:pPr>
              <w:pStyle w:val="TableContents"/>
              <w:bidi w:val="0"/>
              <w:spacing w:before="0" w:after="283"/>
              <w:jc w:val="left"/>
              <w:rPr>
                <w:b/>
              </w:rPr>
            </w:pPr>
            <w:r>
              <w:rPr>
                <w:b/>
              </w:rPr>
              <w:t>%</w:t>
            </w:r>
          </w:p>
        </w:tc>
      </w:tr>
      <w:tr>
        <w:trPr/>
        <w:tc>
          <w:tcPr>
            <w:tcW w:w="4344" w:type="dxa"/>
            <w:tcBorders/>
            <w:shd w:fill="CCEEFF" w:val="clear"/>
            <w:vAlign w:val="center"/>
          </w:tcPr>
          <w:p>
            <w:pPr>
              <w:pStyle w:val="TableContents"/>
              <w:bidi w:val="0"/>
              <w:spacing w:before="0" w:after="283"/>
              <w:jc w:val="left"/>
              <w:rPr/>
            </w:pPr>
            <w:r>
              <w:rPr/>
              <w:t>Other (expenses)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(4,297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336" w:type="dxa"/>
            <w:tcBorders/>
            <w:shd w:fill="FFFFFF" w:val="clear"/>
            <w:vAlign w:val="center"/>
          </w:tcPr>
          <w:p>
            <w:pPr>
              <w:pStyle w:val="TableContents"/>
              <w:bidi w:val="0"/>
              <w:spacing w:before="0" w:after="283"/>
              <w:jc w:val="left"/>
              <w:rPr/>
            </w:pPr>
            <w:r>
              <w:rPr/>
              <w:t>)%</w:t>
            </w:r>
          </w:p>
        </w:tc>
      </w:tr>
      <w:tr>
        <w:trPr/>
        <w:tc>
          <w:tcPr>
            <w:tcW w:w="4344" w:type="dxa"/>
            <w:tcBorders/>
            <w:shd w:fill="CCEEFF" w:val="clear"/>
            <w:vAlign w:val="center"/>
          </w:tcPr>
          <w:p>
            <w:pPr>
              <w:pStyle w:val="TableContents"/>
              <w:bidi w:val="0"/>
              <w:spacing w:before="0" w:after="283"/>
              <w:jc w:val="left"/>
              <w:rPr/>
            </w:pPr>
            <w:r>
              <w:rPr/>
              <w:t>Unrealized loss on fair value changes of digital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(211,764,440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(211,764,440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100.0</w:t>
            </w:r>
          </w:p>
        </w:tc>
        <w:tc>
          <w:tcPr>
            <w:tcW w:w="336" w:type="dxa"/>
            <w:tcBorders/>
            <w:shd w:fill="CCEEFF" w:val="clear"/>
            <w:vAlign w:val="center"/>
          </w:tcPr>
          <w:p>
            <w:pPr>
              <w:pStyle w:val="TableContents"/>
              <w:bidi w:val="0"/>
              <w:spacing w:before="0" w:after="283"/>
              <w:jc w:val="left"/>
              <w:rPr/>
            </w:pPr>
            <w:r>
              <w:rPr/>
              <w:t>%</w:t>
            </w:r>
          </w:p>
        </w:tc>
      </w:tr>
      <w:tr>
        <w:trPr/>
        <w:tc>
          <w:tcPr>
            <w:tcW w:w="4344" w:type="dxa"/>
            <w:tcBorders/>
            <w:shd w:fill="FFFFFF" w:val="clear"/>
            <w:vAlign w:val="center"/>
          </w:tcPr>
          <w:p>
            <w:pPr>
              <w:pStyle w:val="TableContents"/>
              <w:bidi w:val="0"/>
              <w:spacing w:before="0" w:after="283"/>
              <w:jc w:val="left"/>
              <w:rPr/>
            </w:pPr>
            <w:r>
              <w:rPr/>
              <w:t>Realized loss on fair value changes of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336" w:type="dxa"/>
            <w:tcBorders/>
            <w:shd w:fill="FFFFFF" w:val="clear"/>
            <w:vAlign w:val="center"/>
          </w:tcPr>
          <w:p>
            <w:pPr>
              <w:pStyle w:val="TableContents"/>
              <w:bidi w:val="0"/>
              <w:spacing w:before="0" w:after="283"/>
              <w:jc w:val="left"/>
              <w:rPr/>
            </w:pPr>
            <w:r>
              <w:rPr/>
              <w:t>%</w:t>
            </w:r>
          </w:p>
        </w:tc>
      </w:tr>
      <w:tr>
        <w:trPr/>
        <w:tc>
          <w:tcPr>
            <w:tcW w:w="4344" w:type="dxa"/>
            <w:tcBorders/>
            <w:shd w:fill="CCEEFF" w:val="clear"/>
            <w:vAlign w:val="center"/>
          </w:tcPr>
          <w:p>
            <w:pPr>
              <w:pStyle w:val="TableContents"/>
              <w:bidi w:val="0"/>
              <w:spacing w:before="0" w:after="283"/>
              <w:jc w:val="left"/>
              <w:rPr/>
            </w:pPr>
            <w:r>
              <w:rPr/>
              <w:t>Sublease rental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100.0</w:t>
            </w:r>
          </w:p>
        </w:tc>
        <w:tc>
          <w:tcPr>
            <w:tcW w:w="336" w:type="dxa"/>
            <w:tcBorders/>
            <w:shd w:fill="CCEEFF" w:val="clear"/>
            <w:vAlign w:val="center"/>
          </w:tcPr>
          <w:p>
            <w:pPr>
              <w:pStyle w:val="TableContents"/>
              <w:bidi w:val="0"/>
              <w:spacing w:before="0" w:after="283"/>
              <w:jc w:val="left"/>
              <w:rPr/>
            </w:pPr>
            <w:r>
              <w:rPr/>
              <w:t>%</w:t>
            </w:r>
          </w:p>
        </w:tc>
      </w:tr>
      <w:tr>
        <w:trPr/>
        <w:tc>
          <w:tcPr>
            <w:tcW w:w="4344" w:type="dxa"/>
            <w:tcBorders/>
            <w:shd w:fill="FFFFFF" w:val="clear"/>
            <w:vAlign w:val="center"/>
          </w:tcPr>
          <w:p>
            <w:pPr>
              <w:pStyle w:val="TableContents"/>
              <w:bidi w:val="0"/>
              <w:spacing w:before="0" w:after="283"/>
              <w:jc w:val="left"/>
              <w:rPr>
                <w:b/>
              </w:rPr>
            </w:pPr>
            <w:r>
              <w:rPr>
                <w:b/>
              </w:rPr>
              <w:t>Other (expenses)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(211,695,413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(211,699,710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b/>
              </w:rPr>
            </w:pPr>
            <w:r>
              <w:rPr>
                <w:b/>
              </w:rPr>
              <w:t>(4926686.3</w:t>
            </w:r>
          </w:p>
        </w:tc>
        <w:tc>
          <w:tcPr>
            <w:tcW w:w="336" w:type="dxa"/>
            <w:tcBorders/>
            <w:shd w:fill="FFFFFF" w:val="clear"/>
            <w:vAlign w:val="center"/>
          </w:tcPr>
          <w:p>
            <w:pPr>
              <w:pStyle w:val="TableContents"/>
              <w:bidi w:val="0"/>
              <w:spacing w:before="0" w:after="283"/>
              <w:jc w:val="left"/>
              <w:rPr>
                <w:b/>
              </w:rPr>
            </w:pPr>
            <w:r>
              <w:rPr>
                <w:b/>
              </w:rPr>
              <w:t>)%</w:t>
            </w:r>
          </w:p>
        </w:tc>
      </w:tr>
      <w:tr>
        <w:trPr/>
        <w:tc>
          <w:tcPr>
            <w:tcW w:w="4344" w:type="dxa"/>
            <w:tcBorders/>
            <w:shd w:fill="CCEEFF" w:val="clear"/>
            <w:vAlign w:val="center"/>
          </w:tcPr>
          <w:p>
            <w:pPr>
              <w:pStyle w:val="TableContents"/>
              <w:bidi w:val="0"/>
              <w:spacing w:before="0" w:after="283"/>
              <w:jc w:val="left"/>
              <w:rPr>
                <w:b/>
              </w:rPr>
            </w:pPr>
            <w:r>
              <w:rPr>
                <w:b/>
              </w:rPr>
              <w:t>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(216,195,171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(2,489,643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(213,705,528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b/>
              </w:rPr>
            </w:pPr>
            <w:r>
              <w:rPr>
                <w:b/>
              </w:rPr>
              <w:t>8583.8</w:t>
            </w:r>
          </w:p>
        </w:tc>
        <w:tc>
          <w:tcPr>
            <w:tcW w:w="336" w:type="dxa"/>
            <w:tcBorders/>
            <w:shd w:fill="CCEEFF" w:val="clear"/>
            <w:vAlign w:val="center"/>
          </w:tcPr>
          <w:p>
            <w:pPr>
              <w:pStyle w:val="TableContents"/>
              <w:bidi w:val="0"/>
              <w:spacing w:before="0" w:after="283"/>
              <w:jc w:val="left"/>
              <w:rPr>
                <w:b/>
              </w:rPr>
            </w:pPr>
            <w:r>
              <w:rPr>
                <w:b/>
              </w:rPr>
              <w:t>%</w:t>
            </w:r>
          </w:p>
        </w:tc>
      </w:tr>
      <w:tr>
        <w:trPr/>
        <w:tc>
          <w:tcPr>
            <w:tcW w:w="4344"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(28,871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(41,950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(320.7</w:t>
            </w:r>
          </w:p>
        </w:tc>
        <w:tc>
          <w:tcPr>
            <w:tcW w:w="336" w:type="dxa"/>
            <w:tcBorders/>
            <w:shd w:fill="FFFFFF" w:val="clear"/>
            <w:vAlign w:val="center"/>
          </w:tcPr>
          <w:p>
            <w:pPr>
              <w:pStyle w:val="TableContents"/>
              <w:bidi w:val="0"/>
              <w:spacing w:before="0" w:after="283"/>
              <w:jc w:val="left"/>
              <w:rPr/>
            </w:pPr>
            <w:r>
              <w:rPr/>
              <w:t>)%</w:t>
            </w:r>
          </w:p>
        </w:tc>
      </w:tr>
      <w:tr>
        <w:trPr/>
        <w:tc>
          <w:tcPr>
            <w:tcW w:w="434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(216,224,042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(2,476,564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(213,747,478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b/>
              </w:rPr>
            </w:pPr>
            <w:r>
              <w:rPr>
                <w:b/>
              </w:rPr>
              <w:t>8630.8</w:t>
            </w:r>
          </w:p>
        </w:tc>
        <w:tc>
          <w:tcPr>
            <w:tcW w:w="336" w:type="dxa"/>
            <w:tcBorders/>
            <w:shd w:fill="CCEEFF" w:val="clear"/>
            <w:vAlign w:val="center"/>
          </w:tcPr>
          <w:p>
            <w:pPr>
              <w:pStyle w:val="TableContents"/>
              <w:bidi w:val="0"/>
              <w:spacing w:before="0" w:after="283"/>
              <w:jc w:val="left"/>
              <w:rPr>
                <w:b/>
              </w:rPr>
            </w:pPr>
            <w:r>
              <w:rPr>
                <w:b/>
              </w:rPr>
              <w:t>%</w:t>
            </w:r>
          </w:p>
        </w:tc>
      </w:tr>
      <w:tr>
        <w:trPr/>
        <w:tc>
          <w:tcPr>
            <w:tcW w:w="4344" w:type="dxa"/>
            <w:tcBorders/>
            <w:shd w:fill="FFFFFF" w:val="clear"/>
            <w:vAlign w:val="center"/>
          </w:tcPr>
          <w:p>
            <w:pPr>
              <w:pStyle w:val="TableContents"/>
              <w:bidi w:val="0"/>
              <w:spacing w:before="0" w:after="283"/>
              <w:jc w:val="left"/>
              <w:rPr/>
            </w:pPr>
            <w:r>
              <w:rPr/>
              <w:t>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(100.0</w:t>
            </w:r>
          </w:p>
        </w:tc>
        <w:tc>
          <w:tcPr>
            <w:tcW w:w="336" w:type="dxa"/>
            <w:tcBorders/>
            <w:shd w:fill="FFFFFF" w:val="clear"/>
            <w:vAlign w:val="center"/>
          </w:tcPr>
          <w:p>
            <w:pPr>
              <w:pStyle w:val="TableContents"/>
              <w:bidi w:val="0"/>
              <w:spacing w:before="0" w:after="283"/>
              <w:jc w:val="left"/>
              <w:rPr/>
            </w:pPr>
            <w:r>
              <w:rPr/>
              <w:t>)%</w:t>
            </w:r>
          </w:p>
        </w:tc>
      </w:tr>
      <w:tr>
        <w:trPr/>
        <w:tc>
          <w:tcPr>
            <w:tcW w:w="4344" w:type="dxa"/>
            <w:tcBorders/>
            <w:shd w:fill="CCEEFF" w:val="clear"/>
            <w:vAlign w:val="center"/>
          </w:tcPr>
          <w:p>
            <w:pPr>
              <w:pStyle w:val="TableContents"/>
              <w:bidi w:val="0"/>
              <w:spacing w:before="0" w:after="283"/>
              <w:jc w:val="left"/>
              <w:rPr/>
            </w:pPr>
            <w:r>
              <w:rPr/>
              <w:t>Net loss attributable to GD Culture Group Limited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(216,224,025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(2,476,564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(213,747,461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b/>
              </w:rPr>
            </w:pPr>
            <w:r>
              <w:rPr>
                <w:b/>
              </w:rPr>
              <w:t>8630.8</w:t>
            </w:r>
          </w:p>
        </w:tc>
        <w:tc>
          <w:tcPr>
            <w:tcW w:w="336"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expenses include selling and marketing expenses(“S&amp;M”), general and administrative (“G&amp;A”) expenses, research and development (“R&amp;D”) expenses. S&amp;M expenses increased by $700,000 from $300,000 for the six months ended June 30, 2025 to $1,000,000 for the six months ended June 30, 2026. The increase was mainly rise in brand marketing expenses and the Company’s increased inputs on marketing and advertising for its interactive reading and narrative entertainment platform. G&amp;A expenses increased by $683,151 from $1,960,607 for the six months ended June 30, 2025 to $2,643,758 for the six months ended June 30, 2026. The increase was mainly due to the increase in the amortization of intangible assets. R&amp;D expenses increased to $856,000 for the six months ended June 30, 2026, compared to $233,333 for the six months ended June 30, 2025. The increase was mainly due to the Company increased inputs on research and development about its interactive fiction—story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expenses increased to $211,695,413 during the six months ended June 30, 2026, compared to other income of $4,297 for the six months ended June 30, 2025. The increase was mainly due to the unrealized loss on fair value changes of digital assets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 increased by approximately $213.7 million, or 8630.8%, to approximately $216.2 million, for the six months ended June 30, 2026, from approximately $2.5 million for the six months ended June 30, 2025. The increase was primarily driven by the unrealized loss on fair value changes of digital assets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$7,219,580 in its operating bank accounts and working capital of approximately $36.6 million. The Company has incurred significant losses from operations and had an accumulated deficit of approximately $486 million as of June 30, 2026. The Company has historically financed its operations and liquidity needs primarily through equity financings and other capital-raising activities, including proceeds from its at-the-market offerings and other public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ability to continue as a going concern in accordance with ASC Subtopic 205-40, Presentation of Financial Statements—Going Concern, which requires management to assess whether there is substantial doubt about the Company’s ability to continue as a going concern within one year after the date the financial statements are issued. The management assessed its liquidity position and concluded that the Company will have sufficient liquidity to meet its obligations as they become due for at least the next twelve months from the date the unaudited interim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key components of the Company’s cash flows for the six months ended June 30, 2026 and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5750"/>
        <w:gridCol w:w="60"/>
        <w:gridCol w:w="146"/>
        <w:gridCol w:w="1225"/>
        <w:gridCol w:w="99"/>
        <w:gridCol w:w="62"/>
        <w:gridCol w:w="146"/>
        <w:gridCol w:w="1100"/>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(12,341,854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(3,708,974</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(6,028,799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25,134,155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4,804,172</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Effect of exchange rate change on 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pPr>
            <w:r>
              <w:rPr/>
              <w:t>6,763,539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1,095,222</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$12.3 million for the six months ended June 30, 2026, as compared to approximately $3.7 million net cash used in operating activities for the six months ended June 30, 2025. Net loss for the six months ended June 30, 2026 was approximately $216.2 million, as compared to approximately $2.5 million for the six months ended June 30, 2025. The year-over-year increase in net loss was largely offset, for purposes of determining operating cash flows, by an approximately $212.2 million increase in non-cash adjustments, primarily attributable to higher unrealized losses from changes in the fair value of digital assets and increased amortization of intangible assets. In addition, changes in operating assets and liabilities resulted in an approximately $7.1 million increase in net cash used in operating activities, mainly attribute to the increase of prepayments made to third parties for selling and marketing services and research and development services. This increase was partially offset by an increase in other payables and accrued liabilities, which primarily attributable to the accrual of research and development expenses incurred but not yet paid.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$6.0 million for the six months ended June 30, 2026, as compared to $nil for the six months ended June 30, 2025. The increase in net cash used in investing activities was due to the purchase of intangible assets of $6.0 million and purchase of digital assets of $100,000 for the six months ended June 30, 2026, partially offset by the Proceeds from disposal of digital assets of $71,201.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$25.1 million for the six months ended June 30, 2026, as compared to approximately $4.8 million for the six months ended June 30, 2025. The increase in cash flow from financing activities primarily due to the proceeds from April 2026 At-the-Market Offering and June 2026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prepares its unaudited interim condensed consolidated financial statements in accordance with U.S. GAAP. The preparation of these unaudited interim condensed consolidated financial statements requires the Company to make estimates, assumptions and judgments that can significantly impact the amounts the Company reports as assets, liabilities, revenue, costs and expenses and the related disclosures. The Company bases its estimates on historical experience and other assumptions that it believes are reasonable under the circumstances. The Company’s actual results could differ significantly from these estimates under different assumptions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whether or not an indication of impairment exists at the cash generating unit level requires significant management judgment pertaining to intangible assets, including a software copyright of AI Box, which is used for online living-stream and a software copyright of Chat Box, which is used for online interactive entertainment scenarios, as well as the operating Right-of-use (“ROU”) assets, including the offices of the Company. Management considers both external and internal sources of information in assessing whether there are any indications that the Company’s intangible assets and ROU assets are impaired. For the six months ended June 30, 2026 and 2025, the Company did not recognize any impairment losses in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digital assets primarily for investment and treasury purposes rather than for use in the ordinary course of business. Based on management’s intent and expected holding period, digital assets are classified as either current or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w:t>
      </w:r>
      <w:r>
        <w:rPr>
          <w:rFonts w:ascii="Times New Roman;Times;Serif" w:hAnsi="Times New Roman;Times;Serif"/>
          <w:b w:val="false"/>
          <w:i/>
          <w:caps w:val="false"/>
          <w:smallCaps w:val="false"/>
          <w:sz w:val="20"/>
        </w:rPr>
        <w:t>ASU 2023-08, Intangibles—Goodwill and Other—Crypto Assets</w:t>
      </w:r>
      <w:r>
        <w:rPr>
          <w:rFonts w:ascii="Times New Roman;Times;Serif" w:hAnsi="Times New Roman;Times;Serif"/>
          <w:b w:val="false"/>
          <w:i w:val="false"/>
          <w:caps w:val="false"/>
          <w:smallCaps w:val="false"/>
          <w:sz w:val="20"/>
        </w:rPr>
        <w:t>, digital assets are accounted for as intangible assets measured at fair value, with changes in fair value recognized immediately in earnings. Digital assets are initially recorded at cost, including acquisition-related fees (see Note 1). Subsequent to initial recognition, digital assets are measured at fair value at each reporting date, and unrealized gains and losses are included in the statement of operations. Upon disposal, the difference between proceeds and carrying amount is recognized as a gain or loss in earnings. The Company discloses the number of units held, cost basis, fair value, and any significant restrictions on the ability to sell or transfer digital assets in the Note 3 to the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FASB issued ASU 2025-05, Credit Losses (Topic 326): Simplifications to the Accounting for Short-Term Receivables and Contract Assets. The update introduces practical expedients that allow entities to simplify the estimation of expected credit losses for accounts receivable and 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unaudited interim condensed consolidated financial statements. The Company does not currently expect the adoption of this guidance to have a material impact on its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the applicability of interim reporting guidance, consolidates interim disclosure requirements within Topic 270, and establishes a disclosure principle for material events and changes occurring since the end of the most recent fiscal year. The amendments are effective for public business entities for interim reporting periods within annual reporting periods beginning after December 15, 2027, with early adoption permitted. The adoption of this ASU is not expected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The amendments modernize the accounting for internal-use software costs by removing references to software development project stages and introducing new criteria for determining when software development costs should be capitalized, including consideration of significant development uncertainty. The amendments are effective for annual reporting periods beginning after December 15, 2027, including interim periods within those annual reporting periods. Early adoption is permitted. The Company is currently evaluating the impact of adopting this ASU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other recently issued but not yet effective accounting standards, if currently adopted, would have a material effect on our unaudited interim condensed consolidated balance sheets, statements of operations and comprehensive loss and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 Market Price Risk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market risk arising from fluctuations in the market price of Bitcoin held by the Company. The market prices of Bitcoin have historically experienced significant volatility and may continue to fluctuate significantly in the future. Changes in the market prices of the Company’s Bitcoin holdings may result in significant fluctuations in their carrying values and gains or losses recognized in the Company’s results of operations. Accordingly, a significant decline in the market prices of Bitcoin held by the Company could have a material adverse effect on the Company’s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value of the Company’s Bitcoin holdings was approximately $451 million. A hypothetical 10% decrease in the market prices of Bitcoin as of June 30, 2026 would have resulted in a decrease of approximately $45 million in the carrying value of the Company’s Bitcoin holdings, with a corresponding impact on the Company’s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ITEM 4. CONTROLS AND PROCEDURES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President and Chief Financial Officer (the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not effective as of the end of the period covered by this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Certifying Officers, or persons performing similar functions, as appropriate, to allow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PART II — OTHER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ITEM 1. LEGAL PROCEEDINGS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ITEM 1A. 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You should carefully consider the information included in this Quarterly Report on Form 10-Q and the risk factors discussed in Part I, “Item 1A. Risk Factors” in our Annual Report on Form 10-K for the fiscal year ended December 31, 2025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Additional risks and uncertainties not currently known to us or that we currently deem to be immaterial also may materially adversely affect our business, financial condition and/or operating results. There are no material changes to the risk factors described in our Annual Report on Form 10-K for the fiscal year ended December 31, 2025. This Quarterly Report on Form 10-Q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5" w:name="a_009"/>
      <w:bookmarkEnd w:id="15"/>
      <w:r>
        <w:rPr>
          <w:rFonts w:ascii="Times New Roman;Times;Serif" w:hAnsi="Times New Roman;Times;Serif"/>
          <w:b/>
          <w:i w:val="false"/>
          <w:caps w:val="false"/>
          <w:smallCaps w:val="false"/>
          <w:sz w:val="20"/>
        </w:rPr>
        <w:t>ITEM 2. UNREGISTERED SALES OF EQUITY SECURITIES AND USE OF PROCEEDS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6" w:name="a_010"/>
      <w:bookmarkEnd w:id="16"/>
      <w:r>
        <w:rPr>
          <w:rFonts w:ascii="Times New Roman;Times;Serif" w:hAnsi="Times New Roman;Times;Serif"/>
          <w:b/>
          <w:i w:val="false"/>
          <w:caps w:val="false"/>
          <w:smallCaps w:val="false"/>
          <w:sz w:val="20"/>
        </w:rPr>
        <w:t>ITEM 3. DEFAULTS UPON SENIOR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7" w:name="a_011"/>
      <w:bookmarkEnd w:id="17"/>
      <w:r>
        <w:rPr>
          <w:rFonts w:ascii="Times New Roman;Times;Serif" w:hAnsi="Times New Roman;Times;Serif"/>
          <w:b/>
          <w:i w:val="false"/>
          <w:caps w:val="false"/>
          <w:smallCaps w:val="false"/>
          <w:sz w:val="20"/>
        </w:rPr>
        <w:t>ITEM 4. MINE SAFETY DISCLOSURES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8" w:name="a_012"/>
      <w:bookmarkEnd w:id="18"/>
      <w:r>
        <w:rPr>
          <w:rFonts w:ascii="Times New Roman;Times;Serif" w:hAnsi="Times New Roman;Times;Serif"/>
          <w:b/>
          <w:i w:val="false"/>
          <w:caps w:val="false"/>
          <w:smallCaps w:val="false"/>
          <w:sz w:val="20"/>
        </w:rPr>
        <w:t>ITEM 5. OTHER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9" w:name="a_013"/>
      <w:bookmarkEnd w:id="19"/>
      <w:r>
        <w:rPr>
          <w:rFonts w:ascii="Times New Roman;Times;Serif" w:hAnsi="Times New Roman;Times;Serif"/>
          <w:b/>
          <w:i w:val="false"/>
          <w:caps w:val="false"/>
          <w:smallCaps w:val="false"/>
          <w:sz w:val="20"/>
        </w:rPr>
        <w:t>ITEM 6.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805" w:type="dxa"/>
        <w:jc w:val="left"/>
        <w:tblInd w:w="0" w:type="dxa"/>
        <w:shd w:fill="FFFFFF" w:val="clear"/>
        <w:tblLayout w:type="fixed"/>
        <w:tblCellMar>
          <w:top w:w="0" w:type="dxa"/>
          <w:left w:w="0" w:type="dxa"/>
          <w:bottom w:w="28" w:type="dxa"/>
          <w:right w:w="0" w:type="dxa"/>
        </w:tblCellMar>
      </w:tblPr>
      <w:tblGrid>
        <w:gridCol w:w="785"/>
        <w:gridCol w:w="60"/>
        <w:gridCol w:w="8960"/>
      </w:tblGrid>
      <w:tr>
        <w:trPr/>
        <w:tc>
          <w:tcPr>
            <w:tcW w:w="7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both"/>
              <w:rPr/>
            </w:pPr>
            <w:hyperlink w:anchor="ea030133201ex31-1.htm">
              <w:r>
                <w:rPr>
                  <w:rStyle w:val="InternetLink"/>
                  <w:rFonts w:ascii="Times New Roman;Times;Serif" w:hAnsi="Times New Roman;Times;Serif"/>
                  <w:sz w:val="20"/>
                </w:rPr>
                <w:t>Certification of the Chief Executive Officer required by Rule 13a-14(a) or Rule 15d-14(a).</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shd w:fill="FFFFFF" w:val="clear"/>
            <w:tcMar>
              <w:bottom w:w="0" w:type="dxa"/>
            </w:tcMar>
            <w:vAlign w:val="center"/>
          </w:tcPr>
          <w:p>
            <w:pPr>
              <w:pStyle w:val="TableContents"/>
              <w:bidi w:val="0"/>
              <w:spacing w:before="0" w:after="283"/>
              <w:jc w:val="both"/>
              <w:rPr/>
            </w:pPr>
            <w:hyperlink w:anchor="ea030133201ex31-2.htm">
              <w:r>
                <w:rPr>
                  <w:rStyle w:val="InternetLink"/>
                  <w:rFonts w:ascii="Times New Roman;Times;Serif" w:hAnsi="Times New Roman;Times;Serif"/>
                  <w:sz w:val="20"/>
                </w:rPr>
                <w:t>Certification of the Chief Financial Officer required by Rule 13a-14(a) or Rule 15d-14(a).</w:t>
              </w:r>
            </w:hyperlink>
          </w:p>
        </w:tc>
      </w:tr>
      <w:tr>
        <w:trPr/>
        <w:tc>
          <w:tcPr>
            <w:tcW w:w="7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both"/>
              <w:rPr/>
            </w:pPr>
            <w:hyperlink w:anchor="ea030133201ex32-1.htm">
              <w:r>
                <w:rPr>
                  <w:rStyle w:val="InternetLink"/>
                  <w:rFonts w:ascii="Times New Roman;Times;Serif" w:hAnsi="Times New Roman;Times;Serif"/>
                  <w:sz w:val="20"/>
                </w:rPr>
                <w:t>Certification of the Chief Executive Officer required by Rule 13a-14(b) or Rule 15d-14(b) and 18 U.S.C. 1350.</w:t>
              </w:r>
            </w:hyperlink>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shd w:fill="FFFFFF" w:val="clear"/>
            <w:tcMar>
              <w:bottom w:w="0" w:type="dxa"/>
            </w:tcMar>
            <w:vAlign w:val="center"/>
          </w:tcPr>
          <w:p>
            <w:pPr>
              <w:pStyle w:val="TableContents"/>
              <w:bidi w:val="0"/>
              <w:spacing w:before="0" w:after="283"/>
              <w:jc w:val="both"/>
              <w:rPr/>
            </w:pPr>
            <w:hyperlink w:anchor="ea030133201ex32-2.htm">
              <w:r>
                <w:rPr>
                  <w:rStyle w:val="InternetLink"/>
                  <w:rFonts w:ascii="Times New Roman;Times;Serif" w:hAnsi="Times New Roman;Times;Serif"/>
                  <w:sz w:val="20"/>
                </w:rPr>
                <w:t>Certification of the Chief Financial Officer required by Rule 13a-14(b) or Rule 15d-14(b) and 18 U.S.C. 1350.</w:t>
              </w:r>
            </w:hyperlink>
          </w:p>
        </w:tc>
      </w:tr>
      <w:tr>
        <w:trPr/>
        <w:tc>
          <w:tcPr>
            <w:tcW w:w="7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Act of 1934, the Registrant has duly caused this Report to be signed on its behalf by the undersigned, thereunto duly authorized on August 14,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95" w:type="dxa"/>
        <w:jc w:val="left"/>
        <w:tblInd w:w="0" w:type="dxa"/>
        <w:shd w:fill="FFFFFF" w:val="clear"/>
        <w:tblLayout w:type="fixed"/>
        <w:tblCellMar>
          <w:top w:w="0" w:type="dxa"/>
          <w:left w:w="0" w:type="dxa"/>
          <w:bottom w:w="0" w:type="dxa"/>
          <w:right w:w="0" w:type="dxa"/>
        </w:tblCellMar>
      </w:tblPr>
      <w:tblGrid>
        <w:gridCol w:w="1865"/>
        <w:gridCol w:w="590"/>
        <w:gridCol w:w="3140"/>
      </w:tblGrid>
      <w:tr>
        <w:trPr/>
        <w:tc>
          <w:tcPr>
            <w:tcW w:w="1865" w:type="dxa"/>
            <w:tcBorders/>
            <w:shd w:fill="FFFFFF" w:val="clear"/>
            <w:vAlign w:val="center"/>
          </w:tcPr>
          <w:p>
            <w:pPr>
              <w:pStyle w:val="TableContents"/>
              <w:bidi w:val="0"/>
              <w:spacing w:before="0" w:after="283"/>
              <w:jc w:val="left"/>
              <w:rPr/>
            </w:pPr>
            <w:r>
              <w:rPr/>
              <w:t> </w:t>
            </w:r>
          </w:p>
        </w:tc>
        <w:tc>
          <w:tcPr>
            <w:tcW w:w="373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 CULTURE GROUP LIMITED</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14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Xiaojian Wang</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Xiaojian Wang</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14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Zihao Zhao</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Zihao Zhao</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Secretary</w:t>
            </w:r>
          </w:p>
        </w:tc>
      </w:tr>
      <w:tr>
        <w:trPr/>
        <w:tc>
          <w:tcPr>
            <w:tcW w:w="186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TextBody"/>
        <w:bidi w:val="0"/>
        <w:jc w:val="left"/>
        <w:rPr>
          <w:bdr w:val="single" w:sz="12" w:space="1" w:color="000000"/>
        </w:rPr>
      </w:pPr>
      <w:r>
        <w:rPr>
          <w:bdr w:val="single" w:sz="12" w:space="1" w:color="000000"/>
        </w:rPr>
        <w:t> </w:t>
      </w:r>
    </w:p>
    <w:p>
      <w:pPr>
        <w:pStyle w:val="TextBody"/>
        <w:bidi w:val="0"/>
        <w:ind w:left="0" w:right="0" w:hanging="0"/>
        <w:jc w:val="right"/>
        <w:rPr>
          <w:b/>
        </w:rPr>
      </w:pPr>
      <w:bookmarkStart w:id="20" w:name="ea030133201ex31-1.htm"/>
      <w:bookmarkStart w:id="21" w:name="ksea030133201ex311"/>
      <w:bookmarkEnd w:id="20"/>
      <w:bookmarkEnd w:id="21"/>
      <w:r>
        <w:rPr>
          <w:b/>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PURSUANT TO</w:t>
        <w:b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Xiao Jian Wang, certify that:</w:t>
      </w:r>
    </w:p>
    <w:p>
      <w:pPr>
        <w:pStyle w:val="TextBody"/>
        <w:bidi w:val="0"/>
        <w:spacing w:before="0" w:after="0"/>
        <w:ind w:left="0" w:right="0" w:firstLine="5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1.</w:t>
            </w:r>
          </w:p>
        </w:tc>
        <w:tc>
          <w:tcPr>
            <w:tcW w:w="10033" w:type="dxa"/>
            <w:tcBorders/>
            <w:vAlign w:val="center"/>
          </w:tcPr>
          <w:p>
            <w:pPr>
              <w:pStyle w:val="TableContents"/>
              <w:bidi w:val="0"/>
              <w:spacing w:before="0" w:after="283"/>
              <w:jc w:val="both"/>
              <w:rPr/>
            </w:pPr>
            <w:r>
              <w:rPr/>
              <w:t>I have reviewed this Quarterly Report on Form 10-Q as of and for the six months ended June 30, 2026 of GD Culture Group Limited;</w:t>
            </w:r>
          </w:p>
        </w:tc>
      </w:tr>
      <w:tr>
        <w:trPr/>
        <w:tc>
          <w:tcPr>
            <w:tcW w:w="172" w:type="dxa"/>
            <w:tcBorders/>
            <w:vAlign w:val="center"/>
          </w:tcPr>
          <w:p>
            <w:pPr>
              <w:pStyle w:val="TableContents"/>
              <w:bidi w:val="0"/>
              <w:spacing w:before="0" w:after="283"/>
              <w:jc w:val="left"/>
              <w:rPr/>
            </w:pPr>
            <w:r>
              <w:rPr/>
              <w:t> </w:t>
            </w:r>
          </w:p>
        </w:tc>
        <w:tc>
          <w:tcPr>
            <w:tcW w:w="10033" w:type="dxa"/>
            <w:tcBorders/>
            <w:vAlign w:val="center"/>
          </w:tcPr>
          <w:p>
            <w:pPr>
              <w:pStyle w:val="TableContents"/>
              <w:bidi w:val="0"/>
              <w:spacing w:before="0" w:after="283"/>
              <w:jc w:val="both"/>
              <w:rPr/>
            </w:pPr>
            <w:r>
              <w:rPr/>
              <w:t> </w:t>
            </w:r>
          </w:p>
        </w:tc>
      </w:tr>
      <w:tr>
        <w:trPr/>
        <w:tc>
          <w:tcPr>
            <w:tcW w:w="172" w:type="dxa"/>
            <w:tcBorders/>
            <w:vAlign w:val="center"/>
          </w:tcPr>
          <w:p>
            <w:pPr>
              <w:pStyle w:val="TableContents"/>
              <w:bidi w:val="0"/>
              <w:spacing w:before="0" w:after="283"/>
              <w:jc w:val="both"/>
              <w:rPr/>
            </w:pPr>
            <w:r>
              <w:rPr/>
              <w:t>2</w:t>
            </w:r>
          </w:p>
        </w:tc>
        <w:tc>
          <w:tcPr>
            <w:tcW w:w="10033"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72" w:type="dxa"/>
            <w:tcBorders/>
            <w:vAlign w:val="center"/>
          </w:tcPr>
          <w:p>
            <w:pPr>
              <w:pStyle w:val="TableContents"/>
              <w:bidi w:val="0"/>
              <w:spacing w:before="0" w:after="283"/>
              <w:jc w:val="both"/>
              <w:rPr/>
            </w:pPr>
            <w:r>
              <w:rPr/>
              <w:t> </w:t>
            </w:r>
          </w:p>
        </w:tc>
        <w:tc>
          <w:tcPr>
            <w:tcW w:w="10033" w:type="dxa"/>
            <w:tcBorders/>
            <w:vAlign w:val="center"/>
          </w:tcPr>
          <w:p>
            <w:pPr>
              <w:pStyle w:val="TableContents"/>
              <w:bidi w:val="0"/>
              <w:spacing w:before="0" w:after="283"/>
              <w:jc w:val="both"/>
              <w:rPr/>
            </w:pPr>
            <w:r>
              <w:rPr/>
              <w:t> </w:t>
            </w:r>
          </w:p>
        </w:tc>
      </w:tr>
      <w:tr>
        <w:trPr/>
        <w:tc>
          <w:tcPr>
            <w:tcW w:w="172" w:type="dxa"/>
            <w:tcBorders/>
            <w:vAlign w:val="center"/>
          </w:tcPr>
          <w:p>
            <w:pPr>
              <w:pStyle w:val="TableContents"/>
              <w:bidi w:val="0"/>
              <w:spacing w:before="0" w:after="283"/>
              <w:jc w:val="both"/>
              <w:rPr/>
            </w:pPr>
            <w:r>
              <w:rPr/>
              <w:t>3</w:t>
            </w:r>
          </w:p>
        </w:tc>
        <w:tc>
          <w:tcPr>
            <w:tcW w:w="10033"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72" w:type="dxa"/>
            <w:tcBorders/>
            <w:vAlign w:val="center"/>
          </w:tcPr>
          <w:p>
            <w:pPr>
              <w:pStyle w:val="TableContents"/>
              <w:bidi w:val="0"/>
              <w:spacing w:before="0" w:after="283"/>
              <w:jc w:val="both"/>
              <w:rPr/>
            </w:pPr>
            <w:r>
              <w:rPr/>
              <w:t> </w:t>
            </w:r>
          </w:p>
        </w:tc>
        <w:tc>
          <w:tcPr>
            <w:tcW w:w="10033" w:type="dxa"/>
            <w:tcBorders/>
            <w:vAlign w:val="center"/>
          </w:tcPr>
          <w:p>
            <w:pPr>
              <w:pStyle w:val="TableContents"/>
              <w:bidi w:val="0"/>
              <w:spacing w:before="0" w:after="283"/>
              <w:jc w:val="both"/>
              <w:rPr/>
            </w:pPr>
            <w:r>
              <w:rPr/>
              <w:t> </w:t>
            </w:r>
          </w:p>
        </w:tc>
      </w:tr>
      <w:tr>
        <w:trPr/>
        <w:tc>
          <w:tcPr>
            <w:tcW w:w="172" w:type="dxa"/>
            <w:tcBorders/>
            <w:vAlign w:val="center"/>
          </w:tcPr>
          <w:p>
            <w:pPr>
              <w:pStyle w:val="TableContents"/>
              <w:bidi w:val="0"/>
              <w:spacing w:before="0" w:after="283"/>
              <w:jc w:val="both"/>
              <w:rPr/>
            </w:pPr>
            <w:r>
              <w:rPr/>
              <w:t>4</w:t>
            </w:r>
          </w:p>
        </w:tc>
        <w:tc>
          <w:tcPr>
            <w:tcW w:w="10033"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5</w:t>
            </w:r>
          </w:p>
        </w:tc>
        <w:tc>
          <w:tcPr>
            <w:tcW w:w="10050"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firstLine="55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195"/>
        <w:gridCol w:w="365"/>
        <w:gridCol w:w="3695"/>
      </w:tblGrid>
      <w:tr>
        <w:trPr/>
        <w:tc>
          <w:tcPr>
            <w:tcW w:w="2195" w:type="dxa"/>
            <w:tcBorders/>
            <w:vAlign w:val="center"/>
          </w:tcPr>
          <w:p>
            <w:pPr>
              <w:pStyle w:val="TableContents"/>
              <w:bidi w:val="0"/>
              <w:spacing w:before="0" w:after="283"/>
              <w:jc w:val="left"/>
              <w:rPr/>
            </w:pPr>
            <w:r>
              <w:rPr/>
              <w:t>Date: August 14, 2026</w:t>
            </w:r>
          </w:p>
        </w:tc>
        <w:tc>
          <w:tcPr>
            <w:tcW w:w="365" w:type="dxa"/>
            <w:tcBorders/>
            <w:vAlign w:val="center"/>
          </w:tcPr>
          <w:p>
            <w:pPr>
              <w:pStyle w:val="TableContents"/>
              <w:bidi w:val="0"/>
              <w:spacing w:before="0" w:after="283"/>
              <w:jc w:val="left"/>
              <w:rPr/>
            </w:pPr>
            <w:r>
              <w:rPr/>
              <w:t>By:</w:t>
            </w:r>
          </w:p>
        </w:tc>
        <w:tc>
          <w:tcPr>
            <w:tcW w:w="3695" w:type="dxa"/>
            <w:tcBorders>
              <w:bottom w:val="single" w:sz="12" w:space="0" w:color="000000"/>
            </w:tcBorders>
            <w:tcMar>
              <w:bottom w:w="28" w:type="dxa"/>
            </w:tcMar>
            <w:vAlign w:val="center"/>
          </w:tcPr>
          <w:p>
            <w:pPr>
              <w:pStyle w:val="TableContents"/>
              <w:bidi w:val="0"/>
              <w:spacing w:before="0" w:after="283"/>
              <w:jc w:val="left"/>
              <w:rPr/>
            </w:pPr>
            <w:r>
              <w:rPr/>
              <w:t>/s/ Xiao Jian Wang</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Xiao Jian Wang</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Chief Executive Officer, President and</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Chairman of the Board</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a030133201ex31-2.htm"/>
      <w:bookmarkStart w:id="23" w:name="ksea030133201ex312"/>
      <w:bookmarkEnd w:id="22"/>
      <w:bookmarkEnd w:id="23"/>
      <w:r>
        <w:rPr>
          <w:b/>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w:t>
        <w:br/>
        <w:t>SECTION 302 OF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Zihao Zhao, certify that:</w:t>
      </w:r>
    </w:p>
    <w:p>
      <w:pPr>
        <w:pStyle w:val="TextBody"/>
        <w:bidi w:val="0"/>
        <w:spacing w:before="0" w:after="0"/>
        <w:ind w:left="0" w:right="0" w:firstLine="5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both"/>
              <w:rPr/>
            </w:pPr>
            <w:r>
              <w:rPr/>
              <w:t>I have reviewed this Quarterly Report on Form 10-Q as of and for the three months ended June 30, 2026 of GD Culture Group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195"/>
        <w:gridCol w:w="365"/>
        <w:gridCol w:w="4850"/>
      </w:tblGrid>
      <w:tr>
        <w:trPr/>
        <w:tc>
          <w:tcPr>
            <w:tcW w:w="2195" w:type="dxa"/>
            <w:tcBorders/>
            <w:vAlign w:val="center"/>
          </w:tcPr>
          <w:p>
            <w:pPr>
              <w:pStyle w:val="TableContents"/>
              <w:bidi w:val="0"/>
              <w:spacing w:before="0" w:after="283"/>
              <w:jc w:val="left"/>
              <w:rPr/>
            </w:pPr>
            <w:r>
              <w:rPr/>
              <w:t>Date: August 14, 2026</w:t>
            </w:r>
          </w:p>
        </w:tc>
        <w:tc>
          <w:tcPr>
            <w:tcW w:w="365" w:type="dxa"/>
            <w:tcBorders/>
            <w:vAlign w:val="center"/>
          </w:tcPr>
          <w:p>
            <w:pPr>
              <w:pStyle w:val="TableContents"/>
              <w:bidi w:val="0"/>
              <w:spacing w:before="0" w:after="283"/>
              <w:jc w:val="left"/>
              <w:rPr/>
            </w:pPr>
            <w:r>
              <w:rPr/>
              <w:t>By:</w:t>
            </w:r>
          </w:p>
        </w:tc>
        <w:tc>
          <w:tcPr>
            <w:tcW w:w="4850" w:type="dxa"/>
            <w:tcBorders>
              <w:bottom w:val="single" w:sz="12" w:space="0" w:color="000000"/>
            </w:tcBorders>
            <w:tcMar>
              <w:bottom w:w="28" w:type="dxa"/>
            </w:tcMar>
            <w:vAlign w:val="center"/>
          </w:tcPr>
          <w:p>
            <w:pPr>
              <w:pStyle w:val="TableContents"/>
              <w:bidi w:val="0"/>
              <w:spacing w:before="0" w:after="283"/>
              <w:jc w:val="left"/>
              <w:rPr/>
            </w:pPr>
            <w:r>
              <w:rPr/>
              <w:t>/s/ Zihao Zhao</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Zihao Zhao</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Chief Financial Officer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(Principal Financial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30133201ex32-1.htm"/>
      <w:bookmarkStart w:id="25" w:name="ksea030133201ex321"/>
      <w:bookmarkEnd w:id="24"/>
      <w:bookmarkEnd w:id="25"/>
      <w:r>
        <w:rPr>
          <w:b/>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Xiao Jian Wang, certify, pursuant to Section 906 of the Sarbanes-Oxley Act of 2002, 18 U.S.C. Section 1350, that: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t>The Quarterly Report on Form 10-Q of GD Culture Group Limited (the “Company”) for the quarterly period ended June 30, 2026 (the “Report”) fully complies with the requirements of Section 13(a) or 15(d) of the Securities Exchange Act of 1934, as amended (U.S.C. 78m or 78o(d)); and</w:t>
            </w:r>
          </w:p>
        </w:tc>
      </w:tr>
    </w:tbl>
    <w:p>
      <w:pPr>
        <w:pStyle w:val="TextBody"/>
        <w:bidi w:val="0"/>
        <w:spacing w:before="0" w:after="0"/>
        <w:ind w:left="0" w:right="0" w:firstLine="5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firstLine="55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195"/>
        <w:gridCol w:w="365"/>
        <w:gridCol w:w="3695"/>
      </w:tblGrid>
      <w:tr>
        <w:trPr/>
        <w:tc>
          <w:tcPr>
            <w:tcW w:w="2195" w:type="dxa"/>
            <w:tcBorders/>
            <w:vAlign w:val="center"/>
          </w:tcPr>
          <w:p>
            <w:pPr>
              <w:pStyle w:val="TableContents"/>
              <w:bidi w:val="0"/>
              <w:spacing w:before="0" w:after="283"/>
              <w:jc w:val="left"/>
              <w:rPr/>
            </w:pPr>
            <w:r>
              <w:rPr/>
              <w:t>Date: August 14, 2026</w:t>
            </w:r>
          </w:p>
        </w:tc>
        <w:tc>
          <w:tcPr>
            <w:tcW w:w="365" w:type="dxa"/>
            <w:tcBorders/>
            <w:vAlign w:val="center"/>
          </w:tcPr>
          <w:p>
            <w:pPr>
              <w:pStyle w:val="TableContents"/>
              <w:bidi w:val="0"/>
              <w:spacing w:before="0" w:after="283"/>
              <w:jc w:val="left"/>
              <w:rPr/>
            </w:pPr>
            <w:r>
              <w:rPr/>
              <w:t>By:</w:t>
            </w:r>
          </w:p>
        </w:tc>
        <w:tc>
          <w:tcPr>
            <w:tcW w:w="3695" w:type="dxa"/>
            <w:tcBorders>
              <w:bottom w:val="single" w:sz="12" w:space="0" w:color="000000"/>
            </w:tcBorders>
            <w:tcMar>
              <w:bottom w:w="28" w:type="dxa"/>
            </w:tcMar>
            <w:vAlign w:val="center"/>
          </w:tcPr>
          <w:p>
            <w:pPr>
              <w:pStyle w:val="TableContents"/>
              <w:bidi w:val="0"/>
              <w:spacing w:before="0" w:after="283"/>
              <w:jc w:val="left"/>
              <w:rPr/>
            </w:pPr>
            <w:r>
              <w:rPr/>
              <w:t>/s/ Xiao Jian Wang</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Xiao Jian Wang</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Chief Executive Officer, President and</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Chairman of the Board</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(Principal Executive Officer)</w:t>
            </w:r>
          </w:p>
        </w:tc>
      </w:tr>
    </w:tbl>
    <w:p>
      <w:pPr>
        <w:pStyle w:val="TextBody"/>
        <w:bidi w:val="0"/>
        <w:spacing w:before="0" w:after="0"/>
        <w:ind w:left="0" w:right="0" w:firstLine="55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6" w:name="ea030133201ex32-2.htm"/>
      <w:bookmarkStart w:id="27" w:name="ksea030133201ex322"/>
      <w:bookmarkEnd w:id="26"/>
      <w:bookmarkEnd w:id="27"/>
      <w:r>
        <w:rPr>
          <w:b/>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Zihao Zhao, certify, pursuant to Section 906 of the Sarbanes-Oxley Act of 2002, 18 U.S.C. Section 1350, that: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t>The Quarterly Report on Form 10-Q of GD Culture Group Limited (the “Company”) for the quarterly period ended June 30, 2026 (the “Report”) fully complies with the requirements of Section 13(a) or 15(d) of the Securities Exchange Act of 1934, as amended (U.S.C. 78m or 78o(d)); and</w:t>
            </w:r>
          </w:p>
        </w:tc>
      </w:tr>
    </w:tbl>
    <w:p>
      <w:pPr>
        <w:pStyle w:val="TextBody"/>
        <w:bidi w:val="0"/>
        <w:spacing w:before="0" w:after="0"/>
        <w:ind w:left="360" w:right="0" w:firstLine="5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firstLine="55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195"/>
        <w:gridCol w:w="365"/>
        <w:gridCol w:w="4850"/>
      </w:tblGrid>
      <w:tr>
        <w:trPr/>
        <w:tc>
          <w:tcPr>
            <w:tcW w:w="2195" w:type="dxa"/>
            <w:tcBorders/>
            <w:vAlign w:val="center"/>
          </w:tcPr>
          <w:p>
            <w:pPr>
              <w:pStyle w:val="TableContents"/>
              <w:bidi w:val="0"/>
              <w:spacing w:before="0" w:after="283"/>
              <w:jc w:val="left"/>
              <w:rPr/>
            </w:pPr>
            <w:r>
              <w:rPr/>
              <w:t>Date: August 14, 2026</w:t>
            </w:r>
          </w:p>
        </w:tc>
        <w:tc>
          <w:tcPr>
            <w:tcW w:w="365" w:type="dxa"/>
            <w:tcBorders/>
            <w:vAlign w:val="center"/>
          </w:tcPr>
          <w:p>
            <w:pPr>
              <w:pStyle w:val="TableContents"/>
              <w:bidi w:val="0"/>
              <w:spacing w:before="0" w:after="283"/>
              <w:jc w:val="left"/>
              <w:rPr/>
            </w:pPr>
            <w:r>
              <w:rPr/>
              <w:t>By:</w:t>
            </w:r>
          </w:p>
        </w:tc>
        <w:tc>
          <w:tcPr>
            <w:tcW w:w="4850" w:type="dxa"/>
            <w:tcBorders>
              <w:bottom w:val="single" w:sz="12" w:space="0" w:color="000000"/>
            </w:tcBorders>
            <w:tcMar>
              <w:bottom w:w="28" w:type="dxa"/>
            </w:tcMar>
            <w:vAlign w:val="center"/>
          </w:tcPr>
          <w:p>
            <w:pPr>
              <w:pStyle w:val="TableContents"/>
              <w:bidi w:val="0"/>
              <w:spacing w:before="0" w:after="283"/>
              <w:jc w:val="left"/>
              <w:rPr/>
            </w:pPr>
            <w:r>
              <w:rPr/>
              <w:t>/s/ Zihao Zhao</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Zihao Zhao</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Chief Financial Officer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(Principal Financial and Chief Accounting Officer)</w:t>
            </w:r>
          </w:p>
        </w:tc>
      </w:tr>
    </w:tbl>
    <w:p>
      <w:pPr>
        <w:pStyle w:val="TextBody"/>
        <w:bidi w:val="0"/>
        <w:spacing w:before="0" w:after="0"/>
        <w:ind w:left="0" w:right="0" w:firstLine="55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16142</Words>
  <Characters>90448</Characters>
  <CharactersWithSpaces>108168</CharactersWithSpaces>
  <Paragraphs>5435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