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U.S. Securities and Exchange Commission on January 23, 2026</w:t>
      </w:r>
    </w:p>
    <w:p>
      <w:pPr>
        <w:spacing w:after="0" w:line="29" w:lineRule="exact"/>
        <w:rPr>
          <w:sz w:val="24"/>
          <w:szCs w:val="24"/>
          <w:color w:val="auto"/>
        </w:rPr>
      </w:pPr>
    </w:p>
    <w:p>
      <w:pPr>
        <w:ind w:left="948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532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820" w:type="dxa"/>
            <w:vAlign w:val="bottom"/>
          </w:tcPr>
          <w:p>
            <w:pPr>
              <w:spacing w:after="0"/>
              <w:rPr>
                <w:sz w:val="15"/>
                <w:szCs w:val="15"/>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UNITED STATES</w:t>
            </w:r>
          </w:p>
        </w:tc>
      </w:tr>
      <w:tr>
        <w:trPr>
          <w:trHeight w:val="183"/>
        </w:trPr>
        <w:tc>
          <w:tcPr>
            <w:tcW w:w="3820" w:type="dxa"/>
            <w:vAlign w:val="bottom"/>
          </w:tcPr>
          <w:p>
            <w:pPr>
              <w:spacing w:after="0"/>
              <w:rPr>
                <w:sz w:val="15"/>
                <w:szCs w:val="15"/>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tc>
      </w:tr>
      <w:tr>
        <w:trPr>
          <w:trHeight w:val="202"/>
        </w:trPr>
        <w:tc>
          <w:tcPr>
            <w:tcW w:w="3820" w:type="dxa"/>
            <w:vAlign w:val="bottom"/>
          </w:tcPr>
          <w:p>
            <w:pPr>
              <w:spacing w:after="0"/>
              <w:rPr>
                <w:sz w:val="17"/>
                <w:szCs w:val="17"/>
                <w:color w:val="auto"/>
              </w:rPr>
            </w:pPr>
          </w:p>
        </w:tc>
        <w:tc>
          <w:tcPr>
            <w:tcW w:w="7440" w:type="dxa"/>
            <w:vAlign w:val="bottom"/>
            <w:gridSpan w:val="3"/>
          </w:tcPr>
          <w:p>
            <w:pPr>
              <w:jc w:val="center"/>
              <w:ind w:right="3744"/>
              <w:spacing w:after="0"/>
              <w:rPr>
                <w:sz w:val="20"/>
                <w:szCs w:val="20"/>
                <w:color w:val="auto"/>
              </w:rPr>
            </w:pPr>
            <w:r>
              <w:rPr>
                <w:rFonts w:ascii="Times New Roman" w:cs="Times New Roman" w:eastAsia="Times New Roman" w:hAnsi="Times New Roman"/>
                <w:sz w:val="15"/>
                <w:szCs w:val="15"/>
                <w:b w:val="1"/>
                <w:bCs w:val="1"/>
                <w:color w:val="auto"/>
              </w:rPr>
              <w:t>Washington, DC 20549</w:t>
            </w:r>
          </w:p>
        </w:tc>
      </w:tr>
      <w:tr>
        <w:trPr>
          <w:trHeight w:val="348"/>
        </w:trPr>
        <w:tc>
          <w:tcPr>
            <w:tcW w:w="3820" w:type="dxa"/>
            <w:vAlign w:val="bottom"/>
          </w:tcPr>
          <w:p>
            <w:pPr>
              <w:spacing w:after="0"/>
              <w:rPr>
                <w:sz w:val="24"/>
                <w:szCs w:val="24"/>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FORM S-3</w:t>
            </w:r>
          </w:p>
        </w:tc>
      </w:tr>
      <w:tr>
        <w:trPr>
          <w:trHeight w:val="183"/>
        </w:trPr>
        <w:tc>
          <w:tcPr>
            <w:tcW w:w="3820" w:type="dxa"/>
            <w:vAlign w:val="bottom"/>
          </w:tcPr>
          <w:p>
            <w:pPr>
              <w:spacing w:after="0"/>
              <w:rPr>
                <w:sz w:val="15"/>
                <w:szCs w:val="15"/>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REGISTRATION STATEMENT</w:t>
            </w:r>
          </w:p>
        </w:tc>
      </w:tr>
      <w:tr>
        <w:trPr>
          <w:trHeight w:val="202"/>
        </w:trPr>
        <w:tc>
          <w:tcPr>
            <w:tcW w:w="3820" w:type="dxa"/>
            <w:vAlign w:val="bottom"/>
          </w:tcPr>
          <w:p>
            <w:pPr>
              <w:spacing w:after="0"/>
              <w:rPr>
                <w:sz w:val="17"/>
                <w:szCs w:val="17"/>
                <w:color w:val="auto"/>
              </w:rPr>
            </w:pPr>
          </w:p>
        </w:tc>
        <w:tc>
          <w:tcPr>
            <w:tcW w:w="7440" w:type="dxa"/>
            <w:vAlign w:val="bottom"/>
            <w:gridSpan w:val="3"/>
          </w:tcPr>
          <w:p>
            <w:pPr>
              <w:jc w:val="center"/>
              <w:ind w:right="3744"/>
              <w:spacing w:after="0"/>
              <w:rPr>
                <w:sz w:val="20"/>
                <w:szCs w:val="20"/>
                <w:color w:val="auto"/>
              </w:rPr>
            </w:pPr>
            <w:r>
              <w:rPr>
                <w:rFonts w:ascii="Times New Roman" w:cs="Times New Roman" w:eastAsia="Times New Roman" w:hAnsi="Times New Roman"/>
                <w:sz w:val="15"/>
                <w:szCs w:val="15"/>
                <w:b w:val="1"/>
                <w:bCs w:val="1"/>
                <w:color w:val="auto"/>
              </w:rPr>
              <w:t>UNDER THE SECURITIES ACT OF 1933</w:t>
            </w:r>
          </w:p>
        </w:tc>
      </w:tr>
      <w:tr>
        <w:trPr>
          <w:trHeight w:val="352"/>
        </w:trPr>
        <w:tc>
          <w:tcPr>
            <w:tcW w:w="3820" w:type="dxa"/>
            <w:vAlign w:val="bottom"/>
          </w:tcPr>
          <w:p>
            <w:pPr>
              <w:spacing w:after="0"/>
              <w:rPr>
                <w:sz w:val="24"/>
                <w:szCs w:val="24"/>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GD Culture Group Limited</w:t>
            </w:r>
          </w:p>
        </w:tc>
      </w:tr>
      <w:tr>
        <w:trPr>
          <w:trHeight w:val="198"/>
        </w:trPr>
        <w:tc>
          <w:tcPr>
            <w:tcW w:w="3820" w:type="dxa"/>
            <w:vAlign w:val="bottom"/>
          </w:tcPr>
          <w:p>
            <w:pPr>
              <w:spacing w:after="0"/>
              <w:rPr>
                <w:sz w:val="17"/>
                <w:szCs w:val="17"/>
                <w:color w:val="auto"/>
              </w:rPr>
            </w:pPr>
          </w:p>
        </w:tc>
        <w:tc>
          <w:tcPr>
            <w:tcW w:w="744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369"/>
        </w:trPr>
        <w:tc>
          <w:tcPr>
            <w:tcW w:w="3820" w:type="dxa"/>
            <w:vAlign w:val="bottom"/>
          </w:tcPr>
          <w:p>
            <w:pPr>
              <w:jc w:val="center"/>
              <w:ind w:left="1624"/>
              <w:spacing w:after="0"/>
              <w:rPr>
                <w:sz w:val="20"/>
                <w:szCs w:val="20"/>
                <w:color w:val="auto"/>
              </w:rPr>
            </w:pPr>
            <w:r>
              <w:rPr>
                <w:rFonts w:ascii="Times New Roman" w:cs="Times New Roman" w:eastAsia="Times New Roman" w:hAnsi="Times New Roman"/>
                <w:sz w:val="15"/>
                <w:szCs w:val="15"/>
                <w:b w:val="1"/>
                <w:bCs w:val="1"/>
                <w:color w:val="auto"/>
                <w:w w:val="99"/>
              </w:rPr>
              <w:t>Nevada</w:t>
            </w:r>
          </w:p>
        </w:tc>
        <w:tc>
          <w:tcPr>
            <w:tcW w:w="7440" w:type="dxa"/>
            <w:vAlign w:val="bottom"/>
            <w:gridSpan w:val="3"/>
          </w:tcPr>
          <w:p>
            <w:pPr>
              <w:jc w:val="center"/>
              <w:ind w:left="1824"/>
              <w:spacing w:after="0"/>
              <w:rPr>
                <w:sz w:val="20"/>
                <w:szCs w:val="20"/>
                <w:color w:val="auto"/>
              </w:rPr>
            </w:pPr>
            <w:r>
              <w:rPr>
                <w:rFonts w:ascii="Times New Roman" w:cs="Times New Roman" w:eastAsia="Times New Roman" w:hAnsi="Times New Roman"/>
                <w:sz w:val="15"/>
                <w:szCs w:val="15"/>
                <w:b w:val="1"/>
                <w:bCs w:val="1"/>
                <w:color w:val="auto"/>
              </w:rPr>
              <w:t>47-3709051</w:t>
            </w:r>
          </w:p>
        </w:tc>
      </w:tr>
      <w:tr>
        <w:trPr>
          <w:trHeight w:val="169"/>
        </w:trPr>
        <w:tc>
          <w:tcPr>
            <w:tcW w:w="3820" w:type="dxa"/>
            <w:vAlign w:val="bottom"/>
            <w:tcBorders>
              <w:top w:val="single" w:sz="8" w:color="auto"/>
            </w:tcBorders>
          </w:tcPr>
          <w:p>
            <w:pPr>
              <w:jc w:val="center"/>
              <w:ind w:left="1624"/>
              <w:spacing w:after="0" w:line="169" w:lineRule="exact"/>
              <w:rPr>
                <w:sz w:val="20"/>
                <w:szCs w:val="20"/>
                <w:color w:val="auto"/>
              </w:rPr>
            </w:pPr>
            <w:r>
              <w:rPr>
                <w:rFonts w:ascii="Times New Roman" w:cs="Times New Roman" w:eastAsia="Times New Roman" w:hAnsi="Times New Roman"/>
                <w:sz w:val="15"/>
                <w:szCs w:val="15"/>
                <w:color w:val="auto"/>
              </w:rPr>
              <w:t>(State or other jurisdiction of</w:t>
            </w:r>
          </w:p>
        </w:tc>
        <w:tc>
          <w:tcPr>
            <w:tcW w:w="1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3820" w:type="dxa"/>
            <w:vAlign w:val="bottom"/>
          </w:tcPr>
          <w:p>
            <w:pPr>
              <w:jc w:val="center"/>
              <w:ind w:left="1624"/>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111 Town Square Place, Suite #1203</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Jersey City, NJ 07310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+1-347-2590292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including zip code, and telephone number, including area code, of registrant’s principal executive offices)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Vcorp Services, LLC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701 S Carson St Suite #200,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Carson City, NV 89701</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(Name, address including zip code, and telephone number, including area code, of agent for service)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Copies to:</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Zhaocong “Richard” Xu, Esq.</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McLaughlin &amp; Stern, LLP</w:t>
      </w:r>
    </w:p>
    <w:p>
      <w:pPr>
        <w:jc w:val="center"/>
        <w:spacing w:after="0" w:line="191" w:lineRule="auto"/>
        <w:rPr>
          <w:sz w:val="20"/>
          <w:szCs w:val="20"/>
          <w:color w:val="auto"/>
        </w:rPr>
      </w:pPr>
      <w:r>
        <w:rPr>
          <w:rFonts w:ascii="Times New Roman" w:cs="Times New Roman" w:eastAsia="Times New Roman" w:hAnsi="Times New Roman"/>
          <w:sz w:val="15"/>
          <w:szCs w:val="15"/>
          <w:b w:val="1"/>
          <w:bCs w:val="1"/>
          <w:color w:val="auto"/>
        </w:rPr>
        <w:t>260 Madison Avenue, 18</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5"/>
          <w:szCs w:val="15"/>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Tel: (212) 448-1100</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this registration statement becomes effective.</w:t>
      </w:r>
    </w:p>
    <w:p>
      <w:pPr>
        <w:spacing w:after="0" w:line="162"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29" w:lineRule="exact"/>
        <w:rPr>
          <w:sz w:val="24"/>
          <w:szCs w:val="24"/>
          <w:color w:val="auto"/>
        </w:rPr>
      </w:pPr>
    </w:p>
    <w:p>
      <w:pPr>
        <w:jc w:val="both"/>
        <w:ind w:right="20"/>
        <w:spacing w:after="0" w:line="20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right="2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right="2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right="20"/>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98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Accelerated filer</w:t>
            </w:r>
          </w:p>
        </w:tc>
        <w:tc>
          <w:tcPr>
            <w:tcW w:w="210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3"/>
        </w:trPr>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98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rPr>
              <w:t>☒</w:t>
            </w:r>
          </w:p>
        </w:tc>
        <w:tc>
          <w:tcPr>
            <w:tcW w:w="3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10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9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Emerging growth company</w:t>
            </w:r>
          </w:p>
        </w:tc>
        <w:tc>
          <w:tcPr>
            <w:tcW w:w="2100" w:type="dxa"/>
            <w:vAlign w:val="bottom"/>
          </w:tcPr>
          <w:p>
            <w:pPr>
              <w:ind w:left="19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40"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2" w:lineRule="exact"/>
        <w:rPr>
          <w:sz w:val="24"/>
          <w:szCs w:val="24"/>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b w:val="1"/>
          <w:bCs w:val="1"/>
          <w:color w:val="auto"/>
        </w:rPr>
        <w:t>Pursuant to Rule 415(a)(6) promulgated under the Securities Act of 1933, as amended, the securities registered pursuant to this Registration Statement include $100,000,000 of securities previously registered on a prior Registration Statement on Form S-3, as amended (File No. 333-279141) which remain unsold. Please refer to Footnote No.4 to Exhibit 107 “Filing Fee Table” for details.</w:t>
      </w:r>
    </w:p>
    <w:p>
      <w:pPr>
        <w:spacing w:after="0" w:line="140" w:lineRule="exact"/>
        <w:rPr>
          <w:sz w:val="24"/>
          <w:szCs w:val="24"/>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5327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369570</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1" w:name="page2"/>
    <w:bookmarkEnd w:id="1"/>
    <w:p>
      <w:pPr>
        <w:jc w:val="both"/>
        <w:spacing w:after="0" w:line="272" w:lineRule="auto"/>
        <w:rPr>
          <w:sz w:val="20"/>
          <w:szCs w:val="20"/>
          <w:color w:val="auto"/>
        </w:rPr>
      </w:pPr>
      <w:r>
        <w:rPr>
          <w:rFonts w:ascii="Times New Roman" w:cs="Times New Roman" w:eastAsia="Times New Roman" w:hAnsi="Times New Roman"/>
          <w:sz w:val="15"/>
          <w:szCs w:val="15"/>
          <w:color w:val="FF0000"/>
        </w:rPr>
        <w:t>The information in this preliminary prospectus is not complete and may be changed. The securities may not be sold until the registration statement filed with the U.S. Securities and Exchange Commission is effective. This preliminary prospectus is not an offer to sell these securities and is not soliciting offers to buy these securities in any state where the offer or sale is not permitted.</w:t>
      </w:r>
    </w:p>
    <w:p>
      <w:pPr>
        <w:spacing w:after="0" w:line="142" w:lineRule="exact"/>
        <w:rPr>
          <w:sz w:val="20"/>
          <w:szCs w:val="20"/>
          <w:color w:val="auto"/>
        </w:rPr>
      </w:pPr>
    </w:p>
    <w:p>
      <w:pPr>
        <w:spacing w:after="0"/>
        <w:tabs>
          <w:tab w:leader="none" w:pos="4580" w:val="left"/>
          <w:tab w:leader="none" w:pos="9380" w:val="left"/>
        </w:tabs>
        <w:rPr>
          <w:sz w:val="20"/>
          <w:szCs w:val="20"/>
          <w:color w:val="auto"/>
        </w:rPr>
      </w:pPr>
      <w:r>
        <w:rPr>
          <w:rFonts w:ascii="Times New Roman" w:cs="Times New Roman" w:eastAsia="Times New Roman" w:hAnsi="Times New Roman"/>
          <w:sz w:val="15"/>
          <w:szCs w:val="15"/>
          <w:b w:val="1"/>
          <w:bCs w:val="1"/>
          <w:color w:val="FF0000"/>
        </w:rPr>
        <w:t>PRELIMINARY PROSPECTUS</w:t>
      </w:r>
      <w:r>
        <w:rPr>
          <w:sz w:val="20"/>
          <w:szCs w:val="20"/>
          <w:color w:val="auto"/>
        </w:rPr>
        <w:tab/>
      </w:r>
      <w:r>
        <w:rPr>
          <w:rFonts w:ascii="Times New Roman" w:cs="Times New Roman" w:eastAsia="Times New Roman" w:hAnsi="Times New Roman"/>
          <w:sz w:val="15"/>
          <w:szCs w:val="15"/>
          <w:b w:val="1"/>
          <w:bCs w:val="1"/>
          <w:color w:val="FF0000"/>
        </w:rPr>
        <w:t>SUBJECT TO COMPLETION</w:t>
      </w:r>
      <w:r>
        <w:rPr>
          <w:sz w:val="20"/>
          <w:szCs w:val="20"/>
          <w:color w:val="auto"/>
        </w:rPr>
        <w:tab/>
      </w:r>
      <w:r>
        <w:rPr>
          <w:rFonts w:ascii="Times New Roman" w:cs="Times New Roman" w:eastAsia="Times New Roman" w:hAnsi="Times New Roman"/>
          <w:sz w:val="15"/>
          <w:szCs w:val="15"/>
          <w:b w:val="1"/>
          <w:bCs w:val="1"/>
          <w:color w:val="FF0000"/>
        </w:rPr>
        <w:t>DATED JANUARY 23,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GD Culture Group Limited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$500,000,000</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Rights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Units</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may offer, from time to time, in one or more offerings, common stock, preferred stock, debt securities, warrants to purchase our common stock, preferred stock or debt securities, debt securities consisting of debentures, notes or other evidence of indebtedness, units consisting of a combination of the foregoing securities, or any combination of these securities, which we collectively refer to as the “securities”. The aggregate offering price of the securities that we may offer and sell under this prospectus will not exceed $500,000,000.</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This prospectus may not be used to consummate a sale of securities unless accompanied by the applicable prospectus supplement. You should read this prospectus and any applicable prospectus supplement before you invest.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We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spacing w:after="0" w:line="3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Our common stock is currently listed on the Nasdaq Capital Market (“Nasdaq”) under the symbol “GDC.” The last reported sale price of our common stock on the Nasdaq Capital Market on January 21, 2026 was $4.6 per share.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applicable prospectus supplement will contain information, where applicable, as to other listings, if any, on the Nasdaq Capital Market or other securities exchange of the securities covered by the prospectus supplement. We may experience price volatility in our stock. See related risk factors in the “Risk Factors” section of this prospectus and as set forth in our most recent annual report on Form 10-K (the “2024 Annual Report”) for the fiscal year ended December 31, 2024, filed with the U.S. Securities and Exchange Commission (the “SEC”) on March 18, 2025.</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Unless otherwise specified in an applicable prospectus supplement, our warrants, debt securities, rights and units will not be listed on any securities or stock exchange or on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209550</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 w:name="page3"/>
    <w:bookmarkEnd w:id="2"/>
    <w:p>
      <w:pPr>
        <w:jc w:val="both"/>
        <w:ind w:right="20"/>
        <w:spacing w:after="0" w:line="275" w:lineRule="auto"/>
        <w:rPr>
          <w:sz w:val="20"/>
          <w:szCs w:val="20"/>
          <w:color w:val="auto"/>
        </w:rPr>
      </w:pPr>
      <w:r>
        <w:rPr>
          <w:rFonts w:ascii="Times New Roman" w:cs="Times New Roman" w:eastAsia="Times New Roman" w:hAnsi="Times New Roman"/>
          <w:sz w:val="15"/>
          <w:szCs w:val="15"/>
          <w:b w:val="1"/>
          <w:bCs w:val="1"/>
          <w:color w:val="auto"/>
        </w:rPr>
        <w:t xml:space="preserve">The Company is a Nevada company that conducts its operations and operates its business in both United States and China by itself and through its subsidiaries, AI Catalysis Corp. and Shanghai Xianzhui Technology Co., Ltd. Investors are cautioned that you are </w:t>
      </w:r>
      <w:r>
        <w:rPr>
          <w:rFonts w:ascii="Times New Roman" w:cs="Times New Roman" w:eastAsia="Times New Roman" w:hAnsi="Times New Roman"/>
          <w:sz w:val="15"/>
          <w:szCs w:val="15"/>
          <w:b w:val="1"/>
          <w:bCs w:val="1"/>
          <w:u w:val="single" w:color="auto"/>
          <w:color w:val="auto"/>
        </w:rPr>
        <w:t>not</w:t>
      </w:r>
      <w:r>
        <w:rPr>
          <w:rFonts w:ascii="Times New Roman" w:cs="Times New Roman" w:eastAsia="Times New Roman" w:hAnsi="Times New Roman"/>
          <w:sz w:val="15"/>
          <w:szCs w:val="15"/>
          <w:b w:val="1"/>
          <w:bCs w:val="1"/>
          <w:color w:val="auto"/>
        </w:rPr>
        <w:t xml:space="preserve"> buying shares of a China-based operating company but instead are buying shares of a Nevada company with substantial operations conducted by our subsidiaries based in China and that this structure involves unique risks to investors.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Furthermore,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“Risk Factors — Risks Related to Doing Business in China” on page 23.</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Chinese government plays a significant role in regulating and, through state ownership, shaping the development of virtually every sector of the Chinese economy.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See “Risk Factors — Risks Related to Doing Business in China — Uncertainties in the interpretation and enforcement of PRC laws and regulations and changes in policies, rules, and regulations in China, which may be quick with little advance notice, could limit the legal protection available to you and us” on page 26 and “Given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on page 26.</w:t>
      </w:r>
    </w:p>
    <w:p>
      <w:pPr>
        <w:spacing w:after="0" w:line="1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PRC laws and regulations governing our current business operations are sometimes vague and uncertain,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53275"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p>
      <w:pPr>
        <w:jc w:val="both"/>
        <w:spacing w:after="0" w:line="260" w:lineRule="auto"/>
        <w:rPr>
          <w:sz w:val="20"/>
          <w:szCs w:val="20"/>
          <w:color w:val="auto"/>
        </w:rPr>
      </w:pPr>
      <w:r>
        <w:rPr>
          <w:rFonts w:ascii="Times New Roman" w:cs="Times New Roman" w:eastAsia="Times New Roman" w:hAnsi="Times New Roman"/>
          <w:sz w:val="15"/>
          <w:szCs w:val="15"/>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5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5327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“Risk Factors — Risks Related to Doing Business in China”.</w:t>
      </w:r>
    </w:p>
    <w:p>
      <w:pPr>
        <w:spacing w:after="0" w:line="3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Business License” on page 12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Mergers &amp; Acquisitions and Overseas Listings” on page 16 of this prospectus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addition, since 2021, the Chinese government has strengthened its anti-monopoly supervision, mainly in three aspects: (1) establishing the National Anti-Monopoly Bureau; (2) revising and promulgating anti-monopoly laws and regulations, including: the Revised Anti-Monopoly Law (revised and promulgated on June 24, 2022 and came into effect on August 1, 2022), the anti-monopoly guidelines for various industries, the detailed Rules for the Implementation of the Fair Competition Review System, the Provisions on Prohibition of Monopoly Agreements and the Provisions on Prohibition of Abuse of Market Dominance;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subsidiaries engages in monopolistic behaviors that are subject to these statements or regulatory actions.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Pursuant to the Holding Foreign Companies Accountable Act, or the HFCAA, if the Public Company Accounting Oversight Board, or the PCAOB, is unable to inspect an issuer’s auditors for three consecutive years, the issuer’s securities are prohibited to trade on a U.S. stock exchange. The PCAOB issued a Determination Report on December 16, 2021 which found that the PCAOB is unable to inspect or investigate completely registered public accounting firms headquartered in: (1) Chinese mainland of the People’s Republic of China because of a position taken by one or more authorities in Chinese mainland; and (2) Hong Kong, a Special Administrative Region and dependency of the PRC, because of a position taken by one or more authorities in Hong Kong. Furthermore, the PCAOB’s report identified the specific registered public accounting firms which are subject to these determinations.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PCAOB announced that it had signed a Statement of Protocol (the “SOP”) with the CSRC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Chinese mainland and Hong Kong, as required under U.S. law. On December 15, 2022, the PCAOB announced that it was able to secure complete access to inspect and investigate PCAOB-registered public accounting firms headquartered in Chinese mainland and Hong Kong completely in 2022. The PCAOB Board vacated its previous 2021 determinations that the PCAOB was unable to inspect or investigate completely registered public accounting firms headquartered in Chinese mainland and Hong Kong. However, whether the PCAOB will continue to be able to satisfactorily conduct inspections of PCAOB-registered public accounting firms headquartered in Chinese mainland and Hong Kong is subject to uncertainties and depends on a number of factors out of our and our auditor’s control. The PCAOB continues to demand complete access in Chinese mainland and Hong Kong moving forward and conduct regular inspections, as well as to continue pursuing ongoing investigations and initiate new investigations as needed. The PCAOB has also indicated that it will act immediately to consider the need to issue new determinations with the HFCAA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232410</wp:posOffset>
            </wp:positionV>
            <wp:extent cx="715327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5"/>
          <w:szCs w:val="15"/>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 — Risks Related to Doing Business in China — 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on page 32.</w:t>
      </w:r>
    </w:p>
    <w:p>
      <w:pPr>
        <w:spacing w:after="0" w:line="16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53275"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 w:name="page7"/>
    <w:bookmarkEnd w:id="6"/>
    <w:p>
      <w:pPr>
        <w:jc w:val="both"/>
        <w:spacing w:after="0" w:line="272" w:lineRule="auto"/>
        <w:rPr>
          <w:sz w:val="20"/>
          <w:szCs w:val="20"/>
          <w:color w:val="auto"/>
        </w:rPr>
      </w:pPr>
      <w:r>
        <w:rPr>
          <w:rFonts w:ascii="Times New Roman" w:cs="Times New Roman" w:eastAsia="Times New Roman" w:hAnsi="Times New Roman"/>
          <w:sz w:val="15"/>
          <w:szCs w:val="15"/>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color w:val="auto"/>
        </w:rPr>
        <w:t>As of December 31, 2023 and 2024 and as of the date of this prospectus, we do not have a VIE structure.</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See “Prospectus Summary – Asset Transfer between our Company and our Subsidiaries.” See also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21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23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15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b w:val="1"/>
          <w:bCs w:val="1"/>
          <w:color w:val="auto"/>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spacing w:after="0" w:line="1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color w:val="auto"/>
        </w:rPr>
        <w:t>Investing in our securities being offered pursuant to this prospectus involves a high degree of risk. You should carefully read and consider the ‘‘Risk Factors’’ section of this prospectus, and risk factors set forth in 2024 Annual Report, in other reports incorporated herein by reference, and in the applicable prospectus supplement before you make your investment decision.</w:t>
      </w:r>
    </w:p>
    <w:p>
      <w:pPr>
        <w:spacing w:after="0" w:line="1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80" w:type="dxa"/>
            <w:vAlign w:val="bottom"/>
          </w:tcPr>
          <w:p>
            <w:pPr>
              <w:ind w:left="4280"/>
              <w:spacing w:after="0"/>
              <w:rPr>
                <w:sz w:val="20"/>
                <w:szCs w:val="20"/>
                <w:color w:val="auto"/>
              </w:rPr>
            </w:pPr>
            <w:r>
              <w:rPr>
                <w:rFonts w:ascii="Times New Roman" w:cs="Times New Roman" w:eastAsia="Times New Roman" w:hAnsi="Times New Roman"/>
                <w:sz w:val="15"/>
                <w:szCs w:val="15"/>
                <w:b w:val="1"/>
                <w:bCs w:val="1"/>
                <w:color w:val="auto"/>
              </w:rPr>
              <w:t>The date of this prospectus is</w:t>
            </w:r>
          </w:p>
        </w:tc>
        <w:tc>
          <w:tcPr>
            <w:tcW w:w="4880" w:type="dxa"/>
            <w:vAlign w:val="bottom"/>
          </w:tcPr>
          <w:p>
            <w:pPr>
              <w:jc w:val="right"/>
              <w:ind w:right="4204"/>
              <w:spacing w:after="0"/>
              <w:rPr>
                <w:sz w:val="20"/>
                <w:szCs w:val="20"/>
                <w:color w:val="auto"/>
              </w:rPr>
            </w:pPr>
            <w:r>
              <w:rPr>
                <w:rFonts w:ascii="Times New Roman" w:cs="Times New Roman" w:eastAsia="Times New Roman" w:hAnsi="Times New Roman"/>
                <w:sz w:val="15"/>
                <w:szCs w:val="15"/>
                <w:b w:val="1"/>
                <w:bCs w:val="1"/>
                <w:color w:val="auto"/>
              </w:rPr>
              <w:t>, 2026</w:t>
            </w:r>
          </w:p>
        </w:tc>
      </w:tr>
      <w:tr>
        <w:trPr>
          <w:trHeight w:val="369"/>
        </w:trPr>
        <w:tc>
          <w:tcPr>
            <w:tcW w:w="63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9"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TABLE OF CONTENTS</w:t>
            </w:r>
          </w:p>
        </w:tc>
      </w:tr>
      <w:tr>
        <w:trPr>
          <w:trHeight w:val="369"/>
        </w:trPr>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5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49"/>
        </w:trPr>
        <w:tc>
          <w:tcPr>
            <w:tcW w:w="4740" w:type="dxa"/>
            <w:vAlign w:val="bottom"/>
            <w:gridSpan w:val="18"/>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ABOUT THIS PROSPECTUS</w:t>
            </w:r>
          </w:p>
        </w:tc>
        <w:tc>
          <w:tcPr>
            <w:tcW w:w="55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ii</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56"/>
        </w:trPr>
        <w:tc>
          <w:tcPr>
            <w:tcW w:w="256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5"/>
                <w:szCs w:val="15"/>
                <w:color w:val="0000EE"/>
              </w:rPr>
              <w:t>COMMONLY USED DEFINED TERMS</w:t>
            </w:r>
          </w:p>
        </w:tc>
        <w:tc>
          <w:tcPr>
            <w:tcW w:w="2180" w:type="dxa"/>
            <w:vAlign w:val="bottom"/>
            <w:gridSpan w:val="5"/>
          </w:tcPr>
          <w:p>
            <w:pPr>
              <w:spacing w:after="0"/>
              <w:rPr>
                <w:sz w:val="13"/>
                <w:szCs w:val="13"/>
                <w:color w:val="auto"/>
              </w:rPr>
            </w:pPr>
          </w:p>
        </w:tc>
        <w:tc>
          <w:tcPr>
            <w:tcW w:w="5500" w:type="dxa"/>
            <w:vAlign w:val="bottom"/>
          </w:tcPr>
          <w:p>
            <w:pPr>
              <w:spacing w:after="0"/>
              <w:rPr>
                <w:sz w:val="13"/>
                <w:szCs w:val="13"/>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iii</w:t>
            </w:r>
          </w:p>
        </w:tc>
      </w:tr>
      <w:tr>
        <w:trPr>
          <w:trHeight w:val="170"/>
        </w:trPr>
        <w:tc>
          <w:tcPr>
            <w:tcW w:w="474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SPECIAL NOTICE REGARDING FORWARD-LOOKING STATEMENTS</w:t>
            </w:r>
          </w:p>
        </w:tc>
        <w:tc>
          <w:tcPr>
            <w:tcW w:w="550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iv</w:t>
            </w:r>
          </w:p>
        </w:tc>
      </w:tr>
      <w:tr>
        <w:trPr>
          <w:trHeight w:val="156"/>
        </w:trPr>
        <w:tc>
          <w:tcPr>
            <w:tcW w:w="1760" w:type="dxa"/>
            <w:vAlign w:val="bottom"/>
            <w:tcBorders>
              <w:top w:val="single" w:sz="8" w:color="0000EE"/>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5"/>
                <w:szCs w:val="15"/>
                <w:color w:val="0000EE"/>
                <w:w w:val="99"/>
              </w:rPr>
              <w:t>PROSPECTUS SUMMARY</w:t>
            </w:r>
          </w:p>
        </w:tc>
        <w:tc>
          <w:tcPr>
            <w:tcW w:w="2900" w:type="dxa"/>
            <w:vAlign w:val="bottom"/>
            <w:tcBorders>
              <w:top w:val="single" w:sz="8" w:color="0000EE"/>
            </w:tcBorders>
            <w:gridSpan w:val="9"/>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520" w:type="dxa"/>
            <w:vAlign w:val="bottom"/>
            <w:tcBorders>
              <w:top w:val="single" w:sz="8" w:color="CCEEFF"/>
            </w:tcBorders>
            <w:gridSpan w:val="2"/>
          </w:tcPr>
          <w:p>
            <w:pPr>
              <w:jc w:val="center"/>
              <w:ind w:left="5444"/>
              <w:spacing w:after="0" w:line="149" w:lineRule="exact"/>
              <w:rPr>
                <w:sz w:val="20"/>
                <w:szCs w:val="20"/>
                <w:color w:val="auto"/>
              </w:rPr>
            </w:pPr>
            <w:r>
              <w:rPr>
                <w:rFonts w:ascii="Times New Roman" w:cs="Times New Roman" w:eastAsia="Times New Roman" w:hAnsi="Times New Roman"/>
                <w:sz w:val="15"/>
                <w:szCs w:val="15"/>
                <w:color w:val="auto"/>
              </w:rPr>
              <w:t>1</w:t>
            </w:r>
          </w:p>
        </w:tc>
      </w:tr>
      <w:tr>
        <w:trPr>
          <w:trHeight w:val="156"/>
        </w:trPr>
        <w:tc>
          <w:tcPr>
            <w:tcW w:w="474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RISK FACTORS</w:t>
            </w:r>
          </w:p>
        </w:tc>
        <w:tc>
          <w:tcPr>
            <w:tcW w:w="6520" w:type="dxa"/>
            <w:vAlign w:val="bottom"/>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21</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56"/>
        </w:trPr>
        <w:tc>
          <w:tcPr>
            <w:tcW w:w="4740" w:type="dxa"/>
            <w:vAlign w:val="bottom"/>
            <w:gridSpan w:val="18"/>
          </w:tcPr>
          <w:p>
            <w:pPr>
              <w:spacing w:after="0" w:line="149" w:lineRule="exact"/>
              <w:rPr>
                <w:sz w:val="20"/>
                <w:szCs w:val="20"/>
                <w:color w:val="auto"/>
              </w:rPr>
            </w:pPr>
            <w:r>
              <w:rPr>
                <w:rFonts w:ascii="Times New Roman" w:cs="Times New Roman" w:eastAsia="Times New Roman" w:hAnsi="Times New Roman"/>
                <w:sz w:val="15"/>
                <w:szCs w:val="15"/>
                <w:color w:val="0000EE"/>
              </w:rPr>
              <w:t>CAPITALIZATION AND INDEBTNESS</w:t>
            </w:r>
          </w:p>
        </w:tc>
        <w:tc>
          <w:tcPr>
            <w:tcW w:w="6520" w:type="dxa"/>
            <w:vAlign w:val="bottom"/>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43</w:t>
            </w:r>
          </w:p>
        </w:tc>
      </w:tr>
      <w:tr>
        <w:trPr>
          <w:trHeight w:val="156"/>
        </w:trPr>
        <w:tc>
          <w:tcPr>
            <w:tcW w:w="2560" w:type="dxa"/>
            <w:vAlign w:val="bottom"/>
            <w:tcBorders>
              <w:top w:val="single" w:sz="8" w:color="0000EE"/>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DILUTION</w:t>
            </w:r>
          </w:p>
        </w:tc>
        <w:tc>
          <w:tcPr>
            <w:tcW w:w="2180" w:type="dxa"/>
            <w:vAlign w:val="bottom"/>
            <w:gridSpan w:val="5"/>
            <w:shd w:val="clear" w:color="auto" w:fill="CCEEFF"/>
          </w:tcPr>
          <w:p>
            <w:pPr>
              <w:spacing w:after="0"/>
              <w:rPr>
                <w:sz w:val="13"/>
                <w:szCs w:val="13"/>
                <w:color w:val="auto"/>
              </w:rPr>
            </w:pPr>
          </w:p>
        </w:tc>
        <w:tc>
          <w:tcPr>
            <w:tcW w:w="6520" w:type="dxa"/>
            <w:vAlign w:val="bottom"/>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43</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56"/>
        </w:trPr>
        <w:tc>
          <w:tcPr>
            <w:tcW w:w="134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USE OF PROCEEDS</w:t>
            </w:r>
          </w:p>
        </w:tc>
        <w:tc>
          <w:tcPr>
            <w:tcW w:w="3400" w:type="dxa"/>
            <w:vAlign w:val="bottom"/>
            <w:gridSpan w:val="13"/>
          </w:tcPr>
          <w:p>
            <w:pPr>
              <w:spacing w:after="0"/>
              <w:rPr>
                <w:sz w:val="13"/>
                <w:szCs w:val="13"/>
                <w:color w:val="auto"/>
              </w:rPr>
            </w:pPr>
          </w:p>
        </w:tc>
        <w:tc>
          <w:tcPr>
            <w:tcW w:w="6520" w:type="dxa"/>
            <w:vAlign w:val="bottom"/>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44</w:t>
            </w:r>
          </w:p>
        </w:tc>
      </w:tr>
      <w:tr>
        <w:trPr>
          <w:trHeight w:val="170"/>
        </w:trPr>
        <w:tc>
          <w:tcPr>
            <w:tcW w:w="474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6520" w:type="dxa"/>
            <w:vAlign w:val="bottom"/>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44</w:t>
            </w:r>
          </w:p>
        </w:tc>
      </w:tr>
      <w:tr>
        <w:trPr>
          <w:trHeight w:val="156"/>
        </w:trPr>
        <w:tc>
          <w:tcPr>
            <w:tcW w:w="2100" w:type="dxa"/>
            <w:vAlign w:val="bottom"/>
            <w:tcBorders>
              <w:top w:val="single" w:sz="8" w:color="0000EE"/>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5"/>
                <w:szCs w:val="15"/>
                <w:color w:val="0000EE"/>
                <w:w w:val="99"/>
              </w:rPr>
              <w:t>DESCRIPTION OF WARRANTS</w:t>
            </w:r>
          </w:p>
        </w:tc>
        <w:tc>
          <w:tcPr>
            <w:tcW w:w="320" w:type="dxa"/>
            <w:vAlign w:val="bottom"/>
            <w:tcBorders>
              <w:top w:val="single" w:sz="8" w:color="0000EE"/>
            </w:tcBorders>
          </w:tcPr>
          <w:p>
            <w:pPr>
              <w:spacing w:after="0"/>
              <w:rPr>
                <w:sz w:val="13"/>
                <w:szCs w:val="13"/>
                <w:color w:val="auto"/>
              </w:rPr>
            </w:pPr>
          </w:p>
        </w:tc>
        <w:tc>
          <w:tcPr>
            <w:tcW w:w="2320" w:type="dxa"/>
            <w:vAlign w:val="bottom"/>
            <w:tcBorders>
              <w:top w:val="single" w:sz="8" w:color="CCEEFF"/>
            </w:tcBorders>
            <w:gridSpan w:val="6"/>
          </w:tcPr>
          <w:p>
            <w:pPr>
              <w:spacing w:after="0"/>
              <w:rPr>
                <w:sz w:val="13"/>
                <w:szCs w:val="13"/>
                <w:color w:val="auto"/>
              </w:rPr>
            </w:pPr>
          </w:p>
        </w:tc>
        <w:tc>
          <w:tcPr>
            <w:tcW w:w="6520" w:type="dxa"/>
            <w:vAlign w:val="bottom"/>
            <w:tcBorders>
              <w:top w:val="single" w:sz="8" w:color="CCEEFF"/>
            </w:tcBorders>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47</w:t>
            </w:r>
          </w:p>
        </w:tc>
      </w:tr>
      <w:tr>
        <w:trPr>
          <w:trHeight w:val="170"/>
        </w:trPr>
        <w:tc>
          <w:tcPr>
            <w:tcW w:w="2560" w:type="dxa"/>
            <w:vAlign w:val="bottom"/>
            <w:tcBorders>
              <w:bottom w:val="single" w:sz="8" w:color="0000EE"/>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2180" w:type="dxa"/>
            <w:vAlign w:val="bottom"/>
            <w:tcBorders>
              <w:bottom w:val="single" w:sz="8" w:color="CCEEFF"/>
            </w:tcBorders>
            <w:gridSpan w:val="5"/>
            <w:shd w:val="clear" w:color="auto" w:fill="CCEEFF"/>
          </w:tcPr>
          <w:p>
            <w:pPr>
              <w:spacing w:after="0"/>
              <w:rPr>
                <w:sz w:val="14"/>
                <w:szCs w:val="14"/>
                <w:color w:val="auto"/>
              </w:rPr>
            </w:pPr>
          </w:p>
        </w:tc>
        <w:tc>
          <w:tcPr>
            <w:tcW w:w="6520" w:type="dxa"/>
            <w:vAlign w:val="bottom"/>
            <w:tcBorders>
              <w:bottom w:val="single" w:sz="8" w:color="CCEEFF"/>
            </w:tcBorders>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49</w:t>
            </w:r>
          </w:p>
        </w:tc>
      </w:tr>
      <w:tr>
        <w:trPr>
          <w:trHeight w:val="149"/>
        </w:trPr>
        <w:tc>
          <w:tcPr>
            <w:tcW w:w="4740" w:type="dxa"/>
            <w:vAlign w:val="bottom"/>
            <w:gridSpan w:val="18"/>
          </w:tcPr>
          <w:p>
            <w:pPr>
              <w:spacing w:after="0" w:line="149" w:lineRule="exact"/>
              <w:rPr>
                <w:sz w:val="20"/>
                <w:szCs w:val="20"/>
                <w:color w:val="auto"/>
              </w:rPr>
            </w:pPr>
            <w:r>
              <w:rPr>
                <w:rFonts w:ascii="Times New Roman" w:cs="Times New Roman" w:eastAsia="Times New Roman" w:hAnsi="Times New Roman"/>
                <w:sz w:val="15"/>
                <w:szCs w:val="15"/>
                <w:color w:val="0000EE"/>
              </w:rPr>
              <w:t>DESCRIPTION OF UNITS</w:t>
            </w:r>
          </w:p>
        </w:tc>
        <w:tc>
          <w:tcPr>
            <w:tcW w:w="6520" w:type="dxa"/>
            <w:vAlign w:val="bottom"/>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58</w:t>
            </w:r>
          </w:p>
        </w:tc>
      </w:tr>
      <w:tr>
        <w:trPr>
          <w:trHeight w:val="27"/>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0"/>
        </w:trPr>
        <w:tc>
          <w:tcPr>
            <w:tcW w:w="4740" w:type="dxa"/>
            <w:vAlign w:val="bottom"/>
            <w:gridSpan w:val="1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DESCRIPTION OF RIGHTS</w:t>
            </w:r>
          </w:p>
        </w:tc>
        <w:tc>
          <w:tcPr>
            <w:tcW w:w="6520" w:type="dxa"/>
            <w:vAlign w:val="bottom"/>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59</w:t>
            </w:r>
          </w:p>
        </w:tc>
      </w:tr>
      <w:tr>
        <w:trPr>
          <w:trHeight w:val="156"/>
        </w:trPr>
        <w:tc>
          <w:tcPr>
            <w:tcW w:w="180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5"/>
                <w:szCs w:val="15"/>
                <w:color w:val="0000EE"/>
              </w:rPr>
              <w:t>PLAN OF DISTRIBUTION</w:t>
            </w:r>
          </w:p>
        </w:tc>
        <w:tc>
          <w:tcPr>
            <w:tcW w:w="2940" w:type="dxa"/>
            <w:vAlign w:val="bottom"/>
            <w:tcBorders>
              <w:top w:val="single" w:sz="8" w:color="CCEEFF"/>
            </w:tcBorders>
            <w:gridSpan w:val="9"/>
          </w:tcPr>
          <w:p>
            <w:pPr>
              <w:spacing w:after="0"/>
              <w:rPr>
                <w:sz w:val="13"/>
                <w:szCs w:val="13"/>
                <w:color w:val="auto"/>
              </w:rPr>
            </w:pPr>
          </w:p>
        </w:tc>
        <w:tc>
          <w:tcPr>
            <w:tcW w:w="6520" w:type="dxa"/>
            <w:vAlign w:val="bottom"/>
            <w:tcBorders>
              <w:top w:val="single" w:sz="8" w:color="CCEEFF"/>
            </w:tcBorders>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60</w:t>
            </w:r>
          </w:p>
        </w:tc>
      </w:tr>
      <w:tr>
        <w:trPr>
          <w:trHeight w:val="170"/>
        </w:trPr>
        <w:tc>
          <w:tcPr>
            <w:tcW w:w="1720" w:type="dxa"/>
            <w:vAlign w:val="bottom"/>
            <w:tcBorders>
              <w:top w:val="single" w:sz="8" w:color="0000EE"/>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LEGAL MATTERS</w:t>
            </w:r>
          </w:p>
        </w:tc>
        <w:tc>
          <w:tcPr>
            <w:tcW w:w="3020" w:type="dxa"/>
            <w:vAlign w:val="bottom"/>
            <w:gridSpan w:val="11"/>
            <w:shd w:val="clear" w:color="auto" w:fill="CCEEFF"/>
          </w:tcPr>
          <w:p>
            <w:pPr>
              <w:spacing w:after="0"/>
              <w:rPr>
                <w:sz w:val="14"/>
                <w:szCs w:val="14"/>
                <w:color w:val="auto"/>
              </w:rPr>
            </w:pPr>
          </w:p>
        </w:tc>
        <w:tc>
          <w:tcPr>
            <w:tcW w:w="6520" w:type="dxa"/>
            <w:vAlign w:val="bottom"/>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61</w:t>
            </w:r>
          </w:p>
        </w:tc>
      </w:tr>
      <w:tr>
        <w:trPr>
          <w:trHeight w:val="149"/>
        </w:trPr>
        <w:tc>
          <w:tcPr>
            <w:tcW w:w="122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5"/>
                <w:szCs w:val="15"/>
                <w:color w:val="0000EE"/>
              </w:rPr>
              <w:t>EXPERTS</w:t>
            </w:r>
          </w:p>
        </w:tc>
        <w:tc>
          <w:tcPr>
            <w:tcW w:w="3520" w:type="dxa"/>
            <w:vAlign w:val="bottom"/>
            <w:tcBorders>
              <w:top w:val="single" w:sz="8" w:color="CCEEFF"/>
            </w:tcBorders>
            <w:gridSpan w:val="14"/>
          </w:tcPr>
          <w:p>
            <w:pPr>
              <w:spacing w:after="0"/>
              <w:rPr>
                <w:sz w:val="12"/>
                <w:szCs w:val="12"/>
                <w:color w:val="auto"/>
              </w:rPr>
            </w:pPr>
          </w:p>
        </w:tc>
        <w:tc>
          <w:tcPr>
            <w:tcW w:w="6520" w:type="dxa"/>
            <w:vAlign w:val="bottom"/>
            <w:tcBorders>
              <w:top w:val="single" w:sz="8" w:color="CCEEFF"/>
            </w:tcBorders>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61</w:t>
            </w:r>
          </w:p>
        </w:tc>
      </w:tr>
      <w:tr>
        <w:trPr>
          <w:trHeight w:val="27"/>
        </w:trPr>
        <w:tc>
          <w:tcPr>
            <w:tcW w:w="6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0"/>
        </w:trPr>
        <w:tc>
          <w:tcPr>
            <w:tcW w:w="2840" w:type="dxa"/>
            <w:vAlign w:val="bottom"/>
            <w:tcBorders>
              <w:bottom w:val="single" w:sz="8" w:color="0000EE"/>
            </w:tcBorders>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INTERESTS OF EXPERTS AND COUNSEL</w:t>
            </w:r>
          </w:p>
        </w:tc>
        <w:tc>
          <w:tcPr>
            <w:tcW w:w="1900" w:type="dxa"/>
            <w:vAlign w:val="bottom"/>
            <w:tcBorders>
              <w:bottom w:val="single" w:sz="8" w:color="CCEEFF"/>
            </w:tcBorders>
            <w:gridSpan w:val="4"/>
            <w:shd w:val="clear" w:color="auto" w:fill="CCEEFF"/>
          </w:tcPr>
          <w:p>
            <w:pPr>
              <w:spacing w:after="0"/>
              <w:rPr>
                <w:sz w:val="14"/>
                <w:szCs w:val="14"/>
                <w:color w:val="auto"/>
              </w:rPr>
            </w:pPr>
          </w:p>
        </w:tc>
        <w:tc>
          <w:tcPr>
            <w:tcW w:w="6520" w:type="dxa"/>
            <w:vAlign w:val="bottom"/>
            <w:tcBorders>
              <w:bottom w:val="single" w:sz="8" w:color="CCEEFF"/>
            </w:tcBorders>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61</w:t>
            </w:r>
          </w:p>
        </w:tc>
      </w:tr>
      <w:tr>
        <w:trPr>
          <w:trHeight w:val="149"/>
        </w:trPr>
        <w:tc>
          <w:tcPr>
            <w:tcW w:w="4740" w:type="dxa"/>
            <w:vAlign w:val="bottom"/>
            <w:gridSpan w:val="18"/>
          </w:tcPr>
          <w:p>
            <w:pPr>
              <w:spacing w:after="0" w:line="149" w:lineRule="exact"/>
              <w:rPr>
                <w:sz w:val="20"/>
                <w:szCs w:val="20"/>
                <w:color w:val="auto"/>
              </w:rPr>
            </w:pPr>
            <w:r>
              <w:rPr>
                <w:rFonts w:ascii="Times New Roman" w:cs="Times New Roman" w:eastAsia="Times New Roman" w:hAnsi="Times New Roman"/>
                <w:sz w:val="15"/>
                <w:szCs w:val="15"/>
                <w:color w:val="0000EE"/>
              </w:rPr>
              <w:t>INCORPORATION OF DOCUMENTS BY REFERENCE</w:t>
            </w:r>
          </w:p>
        </w:tc>
        <w:tc>
          <w:tcPr>
            <w:tcW w:w="6520" w:type="dxa"/>
            <w:vAlign w:val="bottom"/>
            <w:gridSpan w:val="2"/>
          </w:tcPr>
          <w:p>
            <w:pPr>
              <w:jc w:val="center"/>
              <w:ind w:left="5424"/>
              <w:spacing w:after="0" w:line="149" w:lineRule="exact"/>
              <w:rPr>
                <w:sz w:val="20"/>
                <w:szCs w:val="20"/>
                <w:color w:val="auto"/>
              </w:rPr>
            </w:pPr>
            <w:r>
              <w:rPr>
                <w:rFonts w:ascii="Times New Roman" w:cs="Times New Roman" w:eastAsia="Times New Roman" w:hAnsi="Times New Roman"/>
                <w:sz w:val="15"/>
                <w:szCs w:val="15"/>
                <w:color w:val="auto"/>
                <w:w w:val="93"/>
              </w:rPr>
              <w:t>62</w:t>
            </w:r>
          </w:p>
        </w:tc>
      </w:tr>
      <w:tr>
        <w:trPr>
          <w:trHeight w:val="27"/>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70"/>
        </w:trPr>
        <w:tc>
          <w:tcPr>
            <w:tcW w:w="3740" w:type="dxa"/>
            <w:vAlign w:val="bottom"/>
            <w:tcBorders>
              <w:bottom w:val="single" w:sz="8" w:color="0000EE"/>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WHERE YOU CAN FIND ADDITIONAL INFORMATION</w:t>
            </w:r>
          </w:p>
        </w:tc>
        <w:tc>
          <w:tcPr>
            <w:tcW w:w="1000" w:type="dxa"/>
            <w:vAlign w:val="bottom"/>
            <w:tcBorders>
              <w:bottom w:val="single" w:sz="8" w:color="CCEEFF"/>
            </w:tcBorders>
            <w:gridSpan w:val="2"/>
            <w:shd w:val="clear" w:color="auto" w:fill="CCEEFF"/>
          </w:tcPr>
          <w:p>
            <w:pPr>
              <w:spacing w:after="0"/>
              <w:rPr>
                <w:sz w:val="14"/>
                <w:szCs w:val="14"/>
                <w:color w:val="auto"/>
              </w:rPr>
            </w:pPr>
          </w:p>
        </w:tc>
        <w:tc>
          <w:tcPr>
            <w:tcW w:w="6520" w:type="dxa"/>
            <w:vAlign w:val="bottom"/>
            <w:tcBorders>
              <w:bottom w:val="single" w:sz="8" w:color="CCEEFF"/>
            </w:tcBorders>
            <w:gridSpan w:val="2"/>
            <w:shd w:val="clear" w:color="auto" w:fill="CCEEFF"/>
          </w:tcPr>
          <w:p>
            <w:pPr>
              <w:jc w:val="center"/>
              <w:ind w:left="5424"/>
              <w:spacing w:after="0" w:line="156" w:lineRule="exact"/>
              <w:rPr>
                <w:sz w:val="20"/>
                <w:szCs w:val="20"/>
                <w:color w:val="auto"/>
              </w:rPr>
            </w:pPr>
            <w:r>
              <w:rPr>
                <w:rFonts w:ascii="Times New Roman" w:cs="Times New Roman" w:eastAsia="Times New Roman" w:hAnsi="Times New Roman"/>
                <w:sz w:val="15"/>
                <w:szCs w:val="15"/>
                <w:color w:val="auto"/>
                <w:w w:val="93"/>
              </w:rPr>
              <w:t>63</w:t>
            </w:r>
          </w:p>
        </w:tc>
      </w:tr>
    </w:tbl>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b w:val="1"/>
          <w:bCs w:val="1"/>
          <w:color w:val="auto"/>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This prospectus is a part of a registration statement that we have filed with the SEC utilizing a “shelf” registration process. Under this shelf registration process, we may sell any combination of the securities described in this prospectus in one or more offerings up to an aggregate offering price of $500,000,000.</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Each time we sell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offer and sell securities to, or through, underwriting syndicates or dealers, through agents or directly to purchasers.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prospectus supplement for each offering of securities will describe in detail the plan of distribution for that offering.</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In connection with any offering of securities (unless otherwise specified in a prospectus supplement), the underwriters or agents may over-allot or effect transactions which stabilize or maintain the market price of the securities offered at a higher level than that which might exist in the open market. Such transactions, if commenced, may be interrupted or discontinued at any time. See “Plan of Distribution.”</w:t>
      </w:r>
    </w:p>
    <w:p>
      <w:pPr>
        <w:spacing w:after="0" w:line="14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Please carefully read both this prospectus and any prospectus supplement together with the documents incorporated herein by reference under “Incorporation of Documents by Reference” and the additional information described below under “Where You Can Get More Information.”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You should rely only on the information contained or incorporated by reference in this prospectus and any prospectus supplement. We have not authorized anyone to provide you with different information. The distribution or possession of this prospectus in or from certain jurisdictions may be restricted by law. This prospectus is not an offer to sell these securities and is not soliciting an offer to buy these securities in any jurisdiction where the offer or sale is not permitted or where the person making the offer or sale is not qualified to do so or to any person to whom it is not permitted to make such offer or sale. The information contained in this prospectus is accurate only as of the date of this prospectus and any information incorporated by reference is accurate as of the date of the applicable document incorporated by reference, regardless of the time of delivery of this prospectus or of any sale of the securities. Our business, financial condition, results of operations and prospects may have changed since those dates.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0" w:name="page11"/>
    <w:bookmarkEnd w:id="10"/>
    <w:p>
      <w:pPr>
        <w:ind w:left="4280"/>
        <w:spacing w:after="0"/>
        <w:rPr>
          <w:sz w:val="20"/>
          <w:szCs w:val="20"/>
          <w:color w:val="auto"/>
        </w:rPr>
      </w:pPr>
      <w:r>
        <w:rPr>
          <w:rFonts w:ascii="Times New Roman" w:cs="Times New Roman" w:eastAsia="Times New Roman" w:hAnsi="Times New Roman"/>
          <w:sz w:val="15"/>
          <w:szCs w:val="15"/>
          <w:b w:val="1"/>
          <w:bCs w:val="1"/>
          <w:color w:val="auto"/>
        </w:rPr>
        <w:t>COMMONLY USED DEFINED TERMS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otherwise indicated or the context requires otherwise, references in this prospectus to:</w:t>
      </w:r>
    </w:p>
    <w:p>
      <w:pPr>
        <w:spacing w:after="0" w:line="194" w:lineRule="exact"/>
        <w:rPr>
          <w:sz w:val="20"/>
          <w:szCs w:val="20"/>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“AI Catalysis” are to AI Catalysis Corp., a Nevada company, which is wholly owned by GDC;</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“Citi Profit” are to Citi Profit Investment Holding Limited, a British Virgin Islands company, which is wholly owned by GDC;</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“GDC” and the “Company” are to GD Culture Group Limited (formerly known as JM Global Holding Company, TMSR Holding Company Limited and Code Chain New Continent Limited), a Nevada Corporation;</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“Highlight HK” are to Highlights Culture Holding Co., Limited, a Hong Kong SAR company, which is wholly owned by Citi Profit;</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“Highlight WFOE” are to Shanghai Highlight Entertainment Co., Ltd., a PRC company, which is wholly owned by Highlight HK;</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“PRC” or “China” are to the People’s Republic of China, including Hong Kong SAR and Macau, but excluding, for the purpose of this prospectus, Taiwan;</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“RMB” or “Renminbi” are to the legal currency of China;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“Shanghai Xianzhui” are to Shanghai Xianzhui Technology Co., Ltd., a joint venture, of which Highlight Entertainment Co. Ltd. owns 73.3333% of the total equity interest;</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“our”, “us” are to the Company and its subsidiaries;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“US$” or “U.S. Dollars” are to the legal currency of the United States.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SPECIAL NOTICE REGARDING FORWARD-LOOKING STATEMENTS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This prospectus, the applicable prospectus supplement or amendment and the information incorporated by reference in this prospectus contain various forward-looking statements within the meaning of Section 27A of the Securities Act of 1933, as amended (the “Securities Act”) and Section 21E of the Securities and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which may be provided by our management, are also forward-looking statements. Forward-looking statements are based on current expectations and projections about future events and are subject to risks, uncertainties, and assumptions about our Company, economic and market factors, and the industry in which we do business, among other things. These statements are not guarantees of future performance, and we undertake no obligation to publicly update any forward-looking statements, whether as a result of new information, future events, or otherwise, except as required by law. Actual events and results may differ materially from those expressed or forecasted in forward-looking statements due to a number of factors. Factors that could cause our actual performance, future results and actions to differ materially from any forward-looking statements include, but are not limited to, those discussed under the heading “Risk Factors” in any of our filings with the SEC pursuant to Sections 13(a), 13(c), 14 or 15(d) of the Exchange Act. The forward-looking statements in this prospectus, the applicable prospectus supplement or any amendments thereto and the information incorporated by reference in this prospectus represent our views as of the date such statements are made. These forward-looking statements should not be relied upon as representing our views as of any date subsequent to the date such statements are made.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7499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1370" cy="7499985"/>
                    </a:xfrm>
                    <a:prstGeom prst="rect">
                      <a:avLst/>
                    </a:prstGeom>
                    <a:noFill/>
                  </pic:spPr>
                </pic:pic>
              </a:graphicData>
            </a:graphic>
          </wp:anchor>
        </w:drawing>
        <w:t>PROSPECTUS SUMMARY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 xml:space="preserve">GD Culture Group Limited (formerly known as JM Global Holding Company, TMSR Holding Company Limited, and Code Chain New Continent Limited) is a Nevada company that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The Company focuses its business on two segments mainly through </w:t>
      </w:r>
      <w:r>
        <w:rPr>
          <w:rFonts w:ascii="Times New Roman" w:cs="Times New Roman" w:eastAsia="Times New Roman" w:hAnsi="Times New Roman"/>
          <w:sz w:val="15"/>
          <w:szCs w:val="15"/>
          <w:color w:val="auto"/>
          <w:highlight w:val="white"/>
        </w:rPr>
        <w:t>the Company and two subsidiaries, AI Catalysis and Shanghai Xianzhui</w:t>
      </w:r>
      <w:r>
        <w:rPr>
          <w:rFonts w:ascii="Times New Roman" w:cs="Times New Roman" w:eastAsia="Times New Roman" w:hAnsi="Times New Roman"/>
          <w:sz w:val="15"/>
          <w:szCs w:val="15"/>
          <w:color w:val="auto"/>
        </w:rPr>
        <w:t>: 1) AI-driven digital human creation and customization and 2) Live streaming and e-commerce. The company has relentlessly been focusing on serving its customers and creating value for them through the continual innovation and optimization of its products and services.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For AI-driven digital human creation and customization sector, 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 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 xml:space="preserve">For live streaming and e-commerce sector, the Company applies </w:t>
      </w:r>
      <w:r>
        <w:rPr>
          <w:rFonts w:ascii="Times New Roman" w:cs="Times New Roman" w:eastAsia="Times New Roman" w:hAnsi="Times New Roman"/>
          <w:sz w:val="15"/>
          <w:szCs w:val="15"/>
          <w:color w:val="auto"/>
          <w:highlight w:val="white"/>
        </w:rPr>
        <w:t>digital human</w:t>
      </w:r>
      <w:r>
        <w:rPr>
          <w:rFonts w:ascii="Times New Roman" w:cs="Times New Roman" w:eastAsia="Times New Roman" w:hAnsi="Times New Roman"/>
          <w:sz w:val="15"/>
          <w:szCs w:val="15"/>
          <w:color w:val="auto"/>
        </w:rPr>
        <w:t xml:space="preserve"> technology in live streaming e-commerce businesses. </w:t>
      </w:r>
      <w:r>
        <w:rPr>
          <w:rFonts w:ascii="Times New Roman" w:cs="Times New Roman" w:eastAsia="Times New Roman" w:hAnsi="Times New Roman"/>
          <w:sz w:val="15"/>
          <w:szCs w:val="15"/>
          <w:color w:val="auto"/>
          <w:highlight w:val="white"/>
        </w:rPr>
        <w:t>Livestream usage is taking off globally.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 xml:space="preserve">integration of cutting-edge AI digital 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5"/>
          <w:szCs w:val="15"/>
          <w:color w:val="auto"/>
        </w:rPr>
        <w:t>It also supports customized avatars that perfectly adapt to different live streaming scenarios. The company has</w:t>
      </w:r>
      <w:r>
        <w:rPr>
          <w:rFonts w:ascii="Times New Roman" w:cs="Times New Roman" w:eastAsia="Times New Roman" w:hAnsi="Times New Roman"/>
          <w:sz w:val="15"/>
          <w:szCs w:val="15"/>
          <w:color w:val="auto"/>
          <w:highlight w:val="white"/>
        </w:rPr>
        <w:t xml:space="preserve"> </w:t>
      </w:r>
      <w:r>
        <w:rPr>
          <w:rFonts w:ascii="Times New Roman" w:cs="Times New Roman" w:eastAsia="Times New Roman" w:hAnsi="Times New Roman"/>
          <w:sz w:val="15"/>
          <w:szCs w:val="15"/>
          <w:color w:val="auto"/>
        </w:rPr>
        <w:t>introduced online e-commerce businesses on TikTok under different accounts.</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 xml:space="preserve">We aim to generate revenue from: 1) Service revenue and advertising revenue from </w:t>
      </w:r>
      <w:r>
        <w:rPr>
          <w:rFonts w:ascii="Times New Roman" w:cs="Times New Roman" w:eastAsia="Times New Roman" w:hAnsi="Times New Roman"/>
          <w:sz w:val="15"/>
          <w:szCs w:val="15"/>
          <w:color w:val="auto"/>
          <w:highlight w:val="white"/>
        </w:rPr>
        <w:t>digital human</w:t>
      </w:r>
      <w:r>
        <w:rPr>
          <w:rFonts w:ascii="Times New Roman" w:cs="Times New Roman" w:eastAsia="Times New Roman" w:hAnsi="Times New Roman"/>
          <w:sz w:val="15"/>
          <w:szCs w:val="15"/>
          <w:color w:val="auto"/>
        </w:rPr>
        <w:t xml:space="preserve"> creation and customization; and 2) Products’ sales revenue from social live streaming e-commerce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principal executive office is located at 111 Town Square Place, Suite #1203, Jersey City, NJ 07310, and our telephone number is: +1-347-2590292.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History and Structure</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Investors are cautioned that you are buying shares of GDC a Nevada company with operations conducted itself and through its subsidiaries in Nevada and in China and that this structure involves unique risks to investors.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an organizational chart setting forth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4432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1370" cy="4432300"/>
                    </a:xfrm>
                    <a:prstGeom prst="rect">
                      <a:avLst/>
                    </a:prstGeom>
                    <a:noFill/>
                  </pic:spPr>
                </pic:pic>
              </a:graphicData>
            </a:graphic>
          </wp:anchor>
        </w:drawing>
        <w:t xml:space="preserve">GDC, </w:t>
      </w:r>
      <w:r>
        <w:rPr>
          <w:rFonts w:ascii="Times New Roman" w:cs="Times New Roman" w:eastAsia="Times New Roman" w:hAnsi="Times New Roman"/>
          <w:sz w:val="15"/>
          <w:szCs w:val="15"/>
          <w:color w:val="auto"/>
          <w:highlight w:val="white"/>
        </w:rPr>
        <w:t>formerly known as Code Chain New Continent Limited, TMSR Holding Company Limited and JM Global Holding Company,</w:t>
      </w:r>
      <w:r>
        <w:rPr>
          <w:rFonts w:ascii="Times New Roman" w:cs="Times New Roman" w:eastAsia="Times New Roman" w:hAnsi="Times New Roman"/>
          <w:sz w:val="15"/>
          <w:szCs w:val="15"/>
          <w:color w:val="auto"/>
        </w:rPr>
        <w:t xml:space="preserve">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w:t>
      </w:r>
    </w:p>
    <w:p>
      <w:pPr>
        <w:spacing w:after="0" w:line="15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Effective as of January 10, 2023, the Company changed its corporate name from “Code Chain New Continent Limited” to “GD Culture Group Limited” and the Company’s common stock started trading on the Nasdaq Capital Market under the ticker symbol “GDC”. This is the entity which investors will be purchasing their interest in.</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Citi Profit is a company formed under the laws of the British Virgin Islands in August 2019 and is wholly owned by GDC. It is a holding company with no material operations of its own.</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Highlight HK is a company formed under the laws of Hong Kong SAR in November 2022 and is wholly owned by Citi Profit. It is a holding company with no material operations of its own.</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Highlight WFOE or Shanghai Highlight is a company formed under the laws of the PRC in January 2023 and is wholly owned by Highlight HK. It is a holding company with no material operations of its own.</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Shanghai Xianzhui is a company formed under the laws of the PRC in August 2023 for social media marketing purposes. It is a joint venture, of which Highlight WFOE owns 73.3333% of the total equity interest. This is an operating subsidiary of the Company.</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AI Catalysis is a company formed under the laws of Neveda in May 2023, and is a wholly-owned subsidiary of GDC. It is an operating company focusing on AI-driven digital human creation and customization, live streaming and e-commerce, and live streaming interactive game. This is an operating subsidiary of the Company.</w:t>
      </w:r>
    </w:p>
    <w:p>
      <w:pPr>
        <w:spacing w:after="0" w:line="13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14" w:name="page15"/>
    <w:bookmarkEnd w:id="14"/>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595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1370" cy="559562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Capital Raising Activities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October 24, 2025, we entered into Securities Purchase Agreements with accredited investors for a private placement of 1,333,334 shares of common stock at $2.10 per share, raising approximately $2.8 million in gross proceeds before fees and expenses. The proceeds are intended for working capital and general corporate purposes. Univest Securities, LLC acted as the placement agent and was paid a 7% fee plus expenses up to $20,000. The securities were issued in reliance on exemptions under Section 4(a)(2) of the Securities Act and Rule 506(b) of Regulation D. We agreed to file a registration statement covering resale of the shares within 60 days.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On May 2, 2025, we entered into a Common Stock Purchase Agreement with an investor to sell up to $300 million of common stock over time. The investor is obligated to purchase up to a cumulative total of $300 million worth of common stock over a two-year period at a price equal to 90% of the lowest daily volume-weighted average price in a specified period, subject to a minimum price of $0.44 per share and ownership limitations. We paid a 7% cash fee to Univest Securities, LLC as placement agent plus up to $20,000 in reimbursable expenses.</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On May 2, 2025, we also closed a registered direct offering raising approximately $5.5 million through the sale of 1,115,600 common shares at $0.524 per share and 9,380,582 pre-funded warrants at $0.523 per warrant, with proceeds intended for working capital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 of Pallas Capital Holding Ltd.</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September 10, 2025, we executed a Share Exchange Agreement to acquire 100% of the issued ordinary shares of Pallas Capital Holding Ltd., a British Virgin Islands company, in exchange for 39,189,344 shares of our common stock (approximately 233.33% of pre-transaction outstanding shares). The transaction closed on September 29, 2025. Pallas Capital’s assets include 7,500 Bitcoin (valued at approximately $876.8 million at the time of acquisition), which will be held as a long-term digital asset reserve. This acquisition aligns with our crypto asset treasury strategy to strengthen our reserves and presence in the decentralized finance ecosystem. Two of our shareholders with a total of 11.4% beneficial ownership are directors with control over Pallas Capital shares, making this a related party transaction that was approved by our Audit Committee and shareholders.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 of NexusChat Software</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On April 28, 2025, we purchased certain AI software known as “NexusChat” from Gongzheng Xu and Qing Wang for approximately $5.77 million, paid in 2,444,295 shares of our common stock at $2.36 per share. The software is an AI-driven immersive chatting platform for anime and virtual interaction enthusiasts.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247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1370" cy="5247005"/>
                    </a:xfrm>
                    <a:prstGeom prst="rect">
                      <a:avLst/>
                    </a:prstGeom>
                    <a:noFill/>
                  </pic:spPr>
                </pic:pic>
              </a:graphicData>
            </a:graphic>
          </wp:anchor>
        </w:drawing>
        <w:t>2025 Annual Meeting of Stockholders</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On December 31, 2025, we held our 2025 Annual Meeting of Stockholders, where stockholders elected five directors (Xiao Jian Wang, Zihao Zhao, Lei Zhang, Yun Zhang, and Shuaiheng Zhang), ratified HTL International, LLC as our independent registered public accounting firm, adopted our 2025 Equity Incentive Plan, authorized our board of directors to effect a reverse stock split at a ratio between 1-for-2 and 1-for-250, approved an amendment to our Articles of Incorporation, approved the issuance of more than 19.99% of our common stock for certain Securities Purchase Agreements to comply with Nasdaq Listing Rule 5635(d), and authorized adjournment of the meeting if necessary to solicit additional proxies. On December 23, 2025, our Board of Directors resolved to reschedule the Annual Meeting from December 29, 2025 to December 31, 2025 to allow more time for proxy solicitation and to file an amended proxy statement with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Agreement with Chief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June 27, 2025, we entered into an employment agreement with our Chief Financial Officer, Zihao Zhao, increasing his annual salary to $100,000.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Nasdaq Compliance</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On March 20, 2025, Nasdaq notified us that we were not in compliance with Nasdaq Listing Rule 5550(b)(1) requiring minimum stockholders' equity of $2.5 million. We had stockholders' equity of $2,643 as of year-end 2024, and did not meet the alternatives for market value or net income. We were provided 45 calendar days (until May 4, 2025) to submit a compliance plan, potentially extending the compliance period by 180 days. We regained compliance by maintaining the minimum market value of $35 million for ten consecutive business days by June 25,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Regulatory Developments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29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1370" cy="6293485"/>
                    </a:xfrm>
                    <a:prstGeom prst="rect">
                      <a:avLst/>
                    </a:prstGeom>
                    <a:noFill/>
                  </pic:spPr>
                </pic:pic>
              </a:graphicData>
            </a:graphic>
          </wp:anchor>
        </w:drawing>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we have not received any inquiry, notice, warning, or sanctions regarding listing abroad or offshore offering from the CSRC, the CAC, or any other PRC governmental authorities. See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5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5"/>
          <w:szCs w:val="15"/>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5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595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1370" cy="5595620"/>
                    </a:xfrm>
                    <a:prstGeom prst="rect">
                      <a:avLst/>
                    </a:prstGeom>
                    <a:noFill/>
                  </pic:spPr>
                </pic:pic>
              </a:graphicData>
            </a:graphic>
          </wp:anchor>
        </w:drawing>
        <w:t>Implication of the Holding Foreign Company Accountable Act</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w:t>
      </w:r>
      <w:r>
        <w:rPr>
          <w:rFonts w:ascii="Times New Roman" w:cs="Times New Roman" w:eastAsia="Times New Roman" w:hAnsi="Times New Roman"/>
          <w:sz w:val="15"/>
          <w:szCs w:val="15"/>
          <w:color w:val="auto"/>
          <w:highlight w:val="white"/>
        </w:rPr>
        <w:t>on a national securities exchange or</w:t>
      </w:r>
      <w:r>
        <w:rPr>
          <w:rFonts w:ascii="Times New Roman" w:cs="Times New Roman" w:eastAsia="Times New Roman" w:hAnsi="Times New Roman"/>
          <w:sz w:val="15"/>
          <w:szCs w:val="15"/>
          <w:color w:val="auto"/>
        </w:rPr>
        <w:t xml:space="preserve">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1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Asset Transfer between our Company and our Subsidiaries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18" w:name="page19"/>
    <w:bookmarkEnd w:id="18"/>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479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1370" cy="5479415"/>
                    </a:xfrm>
                    <a:prstGeom prst="rect">
                      <a:avLst/>
                    </a:prstGeom>
                    <a:noFill/>
                  </pic:spPr>
                </pic:pic>
              </a:graphicData>
            </a:graphic>
          </wp:anchor>
        </w:drawing>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4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4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4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19" w:name="page20"/>
    <w:bookmarkEnd w:id="19"/>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4549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1370" cy="454914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2024 and as of the date of this prospectus, we do not have a VIE structure.</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highlight w:val="white"/>
        </w:rPr>
        <w:t xml:space="preserve">During the nine months ended September 30, 2025 and the fiscal year ended December 31, 2024, GDC </w:t>
      </w:r>
      <w:r>
        <w:rPr>
          <w:rFonts w:ascii="Times New Roman" w:cs="Times New Roman" w:eastAsia="Times New Roman" w:hAnsi="Times New Roman"/>
          <w:sz w:val="15"/>
          <w:szCs w:val="15"/>
          <w:color w:val="auto"/>
        </w:rPr>
        <w:t>transferred</w:t>
      </w:r>
      <w:r>
        <w:rPr>
          <w:rFonts w:ascii="Times New Roman" w:cs="Times New Roman" w:eastAsia="Times New Roman" w:hAnsi="Times New Roman"/>
          <w:sz w:val="15"/>
          <w:szCs w:val="15"/>
          <w:color w:val="auto"/>
          <w:highlight w:val="white"/>
        </w:rPr>
        <w:t xml:space="preserve">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4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See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21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23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20" w:name="page21"/>
    <w:bookmarkEnd w:id="20"/>
    <w:p>
      <w:pPr>
        <w:ind w:left="3"/>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4665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1370" cy="4665345"/>
                    </a:xfrm>
                    <a:prstGeom prst="rect">
                      <a:avLst/>
                    </a:prstGeom>
                    <a:noFill/>
                  </pic:spPr>
                </pic:pic>
              </a:graphicData>
            </a:graphic>
          </wp:anchor>
        </w:drawing>
        <w:t>Our Products and Services</w:t>
      </w:r>
    </w:p>
    <w:p>
      <w:pPr>
        <w:spacing w:after="0" w:line="198"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15"/>
          <w:szCs w:val="15"/>
          <w:color w:val="auto"/>
          <w:highlight w:val="white"/>
        </w:rPr>
        <w:t>GDC operates in the following distinct business sectors through the Company and two subsidiaries, AI Catalysis Corp. and Shanghai Xianzhui: 1) AI-driven digital human creation and customization; and 2) Live streaming and e-commerce.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 The company has relentlessly been focusing on serving its customers and creating value for them through the continual innovation and optimization of its products and services.</w:t>
      </w:r>
    </w:p>
    <w:p>
      <w:pPr>
        <w:spacing w:after="0" w:line="3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color w:val="auto"/>
        </w:rPr>
        <w:t>1. AI-Driven Digital Human</w:t>
      </w:r>
    </w:p>
    <w:p>
      <w:pPr>
        <w:spacing w:after="0" w:line="194" w:lineRule="exact"/>
        <w:rPr>
          <w:sz w:val="20"/>
          <w:szCs w:val="20"/>
          <w:color w:val="auto"/>
        </w:rPr>
      </w:pPr>
    </w:p>
    <w:p>
      <w:pPr>
        <w:ind w:left="83" w:hanging="83"/>
        <w:spacing w:after="0"/>
        <w:tabs>
          <w:tab w:leader="none" w:pos="83"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Digital Human Creation and Customization</w:t>
      </w:r>
    </w:p>
    <w:p>
      <w:pPr>
        <w:spacing w:after="0" w:line="198" w:lineRule="exact"/>
        <w:rPr>
          <w:sz w:val="20"/>
          <w:szCs w:val="20"/>
          <w:color w:val="auto"/>
        </w:rPr>
      </w:pPr>
    </w:p>
    <w:p>
      <w:pPr>
        <w:jc w:val="both"/>
        <w:ind w:left="283" w:right="20"/>
        <w:spacing w:after="0" w:line="272" w:lineRule="auto"/>
        <w:rPr>
          <w:sz w:val="20"/>
          <w:szCs w:val="20"/>
          <w:color w:val="auto"/>
        </w:rPr>
      </w:pPr>
      <w:r>
        <w:rPr>
          <w:rFonts w:ascii="Times New Roman" w:cs="Times New Roman" w:eastAsia="Times New Roman" w:hAnsi="Times New Roman"/>
          <w:sz w:val="15"/>
          <w:szCs w:val="15"/>
          <w:color w:val="auto"/>
        </w:rPr>
        <w:t>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w:t>
      </w:r>
    </w:p>
    <w:p>
      <w:pPr>
        <w:spacing w:after="0" w:line="142" w:lineRule="exact"/>
        <w:rPr>
          <w:sz w:val="20"/>
          <w:szCs w:val="20"/>
          <w:color w:val="auto"/>
        </w:rPr>
      </w:pPr>
    </w:p>
    <w:p>
      <w:pPr>
        <w:ind w:left="83" w:hanging="83"/>
        <w:spacing w:after="0"/>
        <w:tabs>
          <w:tab w:leader="none" w:pos="83"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Digital Human Technology Application</w:t>
      </w:r>
    </w:p>
    <w:p>
      <w:pPr>
        <w:spacing w:after="0" w:line="198" w:lineRule="exact"/>
        <w:rPr>
          <w:sz w:val="20"/>
          <w:szCs w:val="20"/>
          <w:color w:val="auto"/>
        </w:rPr>
      </w:pPr>
    </w:p>
    <w:p>
      <w:pPr>
        <w:jc w:val="both"/>
        <w:ind w:left="283" w:right="20"/>
        <w:spacing w:after="0" w:line="272" w:lineRule="auto"/>
        <w:rPr>
          <w:sz w:val="20"/>
          <w:szCs w:val="20"/>
          <w:color w:val="auto"/>
        </w:rPr>
      </w:pPr>
      <w:r>
        <w:rPr>
          <w:rFonts w:ascii="Times New Roman" w:cs="Times New Roman" w:eastAsia="Times New Roman" w:hAnsi="Times New Roman"/>
          <w:sz w:val="15"/>
          <w:szCs w:val="15"/>
          <w:color w:val="auto"/>
        </w:rPr>
        <w:t>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46"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15"/>
          <w:szCs w:val="15"/>
          <w:color w:val="auto"/>
        </w:rPr>
        <w:t>The Company currently plans to generate lifelike digital humans for the following key business areas:</w:t>
      </w:r>
    </w:p>
    <w:p>
      <w:pPr>
        <w:spacing w:after="0" w:line="190" w:lineRule="exact"/>
        <w:rPr>
          <w:sz w:val="20"/>
          <w:szCs w:val="20"/>
          <w:color w:val="auto"/>
        </w:rPr>
      </w:pPr>
    </w:p>
    <w:p>
      <w:pPr>
        <w:ind w:left="543" w:hanging="268"/>
        <w:spacing w:after="0"/>
        <w:tabs>
          <w:tab w:leader="none" w:pos="543"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Virtual Influencers and Social Media</w:t>
      </w:r>
    </w:p>
    <w:p>
      <w:pPr>
        <w:spacing w:after="0" w:line="198" w:lineRule="exact"/>
        <w:rPr>
          <w:sz w:val="20"/>
          <w:szCs w:val="20"/>
          <w:color w:val="auto"/>
        </w:rPr>
      </w:pPr>
    </w:p>
    <w:p>
      <w:pPr>
        <w:jc w:val="both"/>
        <w:ind w:left="283" w:right="20"/>
        <w:spacing w:after="0" w:line="290" w:lineRule="auto"/>
        <w:rPr>
          <w:sz w:val="20"/>
          <w:szCs w:val="20"/>
          <w:color w:val="auto"/>
        </w:rPr>
      </w:pPr>
      <w:r>
        <w:rPr>
          <w:rFonts w:ascii="Times New Roman" w:cs="Times New Roman" w:eastAsia="Times New Roman" w:hAnsi="Times New Roman"/>
          <w:sz w:val="15"/>
          <w:szCs w:val="15"/>
          <w:color w:val="auto"/>
        </w:rPr>
        <w:t>The Company aims to create digital humans to gain popularity as virtual influencers on social media platforms. These virtual personalities can collaborate with brands and engage with followers, blurring the line between fiction and reality.</w:t>
      </w:r>
    </w:p>
    <w:p>
      <w:pPr>
        <w:spacing w:after="0" w:line="133" w:lineRule="exact"/>
        <w:rPr>
          <w:sz w:val="20"/>
          <w:szCs w:val="20"/>
          <w:color w:val="auto"/>
        </w:rPr>
      </w:pPr>
    </w:p>
    <w:p>
      <w:pPr>
        <w:jc w:val="both"/>
        <w:ind w:left="283" w:right="20"/>
        <w:spacing w:after="0" w:line="272" w:lineRule="auto"/>
        <w:rPr>
          <w:sz w:val="20"/>
          <w:szCs w:val="20"/>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color w:val="auto"/>
          <w:highlight w:val="white"/>
        </w:rPr>
        <w:t>well-thought-out narrative to create digital characters with diversified personal identity, appearance, storytelling, and actions can</w:t>
      </w:r>
      <w:r>
        <w:rPr>
          <w:rFonts w:ascii="Times New Roman" w:cs="Times New Roman" w:eastAsia="Times New Roman" w:hAnsi="Times New Roman"/>
          <w:sz w:val="15"/>
          <w:szCs w:val="15"/>
          <w:color w:val="auto"/>
        </w:rPr>
        <w:t xml:space="preserve"> resonate with its audience and influence them on notable social media platforms. </w:t>
      </w:r>
      <w:r>
        <w:rPr>
          <w:rFonts w:ascii="Times New Roman" w:cs="Times New Roman" w:eastAsia="Times New Roman" w:hAnsi="Times New Roman"/>
          <w:sz w:val="15"/>
          <w:szCs w:val="15"/>
          <w:color w:val="auto"/>
          <w:highlight w:val="white"/>
        </w:rPr>
        <w:t>It aims to attract a large following on social media and has the ability to produce responsible content 24/7.</w:t>
      </w:r>
      <w:r>
        <w:rPr>
          <w:rFonts w:ascii="Times New Roman" w:cs="Times New Roman" w:eastAsia="Times New Roman" w:hAnsi="Times New Roman"/>
          <w:sz w:val="15"/>
          <w:szCs w:val="15"/>
          <w:color w:val="auto"/>
        </w:rPr>
        <w:t xml:space="preserve"> The Company also uses open source AI tools to create unconventional digital characters and videos.</w:t>
      </w:r>
    </w:p>
    <w:p>
      <w:pPr>
        <w:spacing w:after="0" w:line="142" w:lineRule="exact"/>
        <w:rPr>
          <w:sz w:val="20"/>
          <w:szCs w:val="20"/>
          <w:color w:val="auto"/>
        </w:rPr>
      </w:pPr>
    </w:p>
    <w:p>
      <w:pPr>
        <w:ind w:left="543" w:hanging="268"/>
        <w:spacing w:after="0"/>
        <w:tabs>
          <w:tab w:leader="none" w:pos="543"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Online Marketing and Advertising</w:t>
      </w:r>
    </w:p>
    <w:p>
      <w:pPr>
        <w:spacing w:after="0" w:line="198" w:lineRule="exact"/>
        <w:rPr>
          <w:sz w:val="20"/>
          <w:szCs w:val="20"/>
          <w:color w:val="auto"/>
        </w:rPr>
      </w:pPr>
    </w:p>
    <w:p>
      <w:pPr>
        <w:ind w:left="283" w:right="20"/>
        <w:spacing w:after="0" w:line="290" w:lineRule="auto"/>
        <w:rPr>
          <w:sz w:val="20"/>
          <w:szCs w:val="20"/>
          <w:color w:val="auto"/>
        </w:rPr>
      </w:pPr>
      <w:r>
        <w:rPr>
          <w:rFonts w:ascii="Times New Roman" w:cs="Times New Roman" w:eastAsia="Times New Roman" w:hAnsi="Times New Roman"/>
          <w:sz w:val="15"/>
          <w:szCs w:val="15"/>
          <w:color w:val="auto"/>
        </w:rPr>
        <w:t>Digital humans can be used in marketing campaigns and advertisements to engage with consumers. They can serve as virtual brand ambassadors or spokespersons, providing a more personal and interactive experience. The Company creates customized digital humans to support the clients’ marketing efforts.</w:t>
      </w:r>
    </w:p>
    <w:p>
      <w:pPr>
        <w:spacing w:after="0" w:line="200" w:lineRule="exact"/>
        <w:rPr>
          <w:sz w:val="20"/>
          <w:szCs w:val="20"/>
          <w:color w:val="auto"/>
        </w:rPr>
      </w:pPr>
    </w:p>
    <w:p>
      <w:pPr>
        <w:spacing w:after="0" w:line="21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15875</wp:posOffset>
            </wp:positionV>
            <wp:extent cx="715327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3"/>
          </w:cols>
          <w:pgMar w:left="417" w:top="888" w:right="419" w:bottom="1440" w:gutter="0" w:footer="0" w:header="0"/>
        </w:sectPr>
      </w:pPr>
    </w:p>
    <w:bookmarkStart w:id="21" w:name="page22"/>
    <w:bookmarkEnd w:id="21"/>
    <w:p>
      <w:pPr>
        <w:ind w:left="3"/>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2804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1370" cy="2804160"/>
                    </a:xfrm>
                    <a:prstGeom prst="rect">
                      <a:avLst/>
                    </a:prstGeom>
                    <a:noFill/>
                  </pic:spPr>
                </pic:pic>
              </a:graphicData>
            </a:graphic>
          </wp:anchor>
        </w:drawing>
        <w:t>2. E-Commerce and Live Streaming</w:t>
      </w:r>
    </w:p>
    <w:p>
      <w:pPr>
        <w:spacing w:after="0" w:line="194" w:lineRule="exact"/>
        <w:rPr>
          <w:sz w:val="20"/>
          <w:szCs w:val="20"/>
          <w:color w:val="auto"/>
        </w:rPr>
      </w:pPr>
    </w:p>
    <w:p>
      <w:pPr>
        <w:ind w:left="183" w:hanging="183"/>
        <w:spacing w:after="0"/>
        <w:tabs>
          <w:tab w:leader="none" w:pos="183"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Digital Human in E-Commerce and Live Streaming</w:t>
      </w:r>
    </w:p>
    <w:p>
      <w:pPr>
        <w:spacing w:after="0" w:line="198" w:lineRule="exact"/>
        <w:rPr>
          <w:sz w:val="20"/>
          <w:szCs w:val="20"/>
          <w:color w:val="auto"/>
        </w:rPr>
      </w:pPr>
    </w:p>
    <w:p>
      <w:pPr>
        <w:jc w:val="both"/>
        <w:ind w:left="283" w:right="20"/>
        <w:spacing w:after="0" w:line="272" w:lineRule="auto"/>
        <w:rPr>
          <w:sz w:val="20"/>
          <w:szCs w:val="20"/>
          <w:color w:val="auto"/>
        </w:rPr>
      </w:pPr>
      <w:r>
        <w:rPr>
          <w:rFonts w:ascii="Times New Roman" w:cs="Times New Roman" w:eastAsia="Times New Roman" w:hAnsi="Times New Roman"/>
          <w:sz w:val="15"/>
          <w:szCs w:val="15"/>
          <w:color w:val="auto"/>
        </w:rPr>
        <w:t xml:space="preserve">The Company applies digital human technology in live streaming e-commerce businesses. </w:t>
      </w:r>
      <w:r>
        <w:rPr>
          <w:rFonts w:ascii="Times New Roman" w:cs="Times New Roman" w:eastAsia="Times New Roman" w:hAnsi="Times New Roman"/>
          <w:sz w:val="15"/>
          <w:szCs w:val="15"/>
          <w:color w:val="auto"/>
          <w:highlight w:val="white"/>
        </w:rPr>
        <w:t>Livestream usage is taking off globally. The integration of cutting-edge AI digital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 xml:space="preserve">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5"/>
          <w:szCs w:val="15"/>
          <w:color w:val="auto"/>
        </w:rPr>
        <w:t>It also supports customized avatars that perfectly adapt to different live streaming scenarios.</w:t>
      </w:r>
    </w:p>
    <w:p>
      <w:pPr>
        <w:spacing w:after="0" w:line="142" w:lineRule="exact"/>
        <w:rPr>
          <w:sz w:val="20"/>
          <w:szCs w:val="20"/>
          <w:color w:val="auto"/>
        </w:rPr>
      </w:pPr>
    </w:p>
    <w:p>
      <w:pPr>
        <w:ind w:left="223" w:hanging="223"/>
        <w:spacing w:after="0"/>
        <w:tabs>
          <w:tab w:leader="none" w:pos="223"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E-Commerce on Social Media Platforms</w:t>
      </w:r>
    </w:p>
    <w:p>
      <w:pPr>
        <w:spacing w:after="0" w:line="198" w:lineRule="exact"/>
        <w:rPr>
          <w:sz w:val="20"/>
          <w:szCs w:val="20"/>
          <w:color w:val="auto"/>
        </w:rPr>
      </w:pPr>
    </w:p>
    <w:p>
      <w:pPr>
        <w:jc w:val="both"/>
        <w:ind w:left="283"/>
        <w:spacing w:after="0" w:line="266" w:lineRule="auto"/>
        <w:rPr>
          <w:sz w:val="20"/>
          <w:szCs w:val="20"/>
          <w:color w:val="auto"/>
        </w:rPr>
      </w:pPr>
      <w:r>
        <w:rPr>
          <w:rFonts w:ascii="Times New Roman" w:cs="Times New Roman" w:eastAsia="Times New Roman" w:hAnsi="Times New Roman"/>
          <w:sz w:val="15"/>
          <w:szCs w:val="15"/>
          <w:color w:val="auto"/>
        </w:rPr>
        <w:t>The company has introduced online e-commerce businesses on TikTok. Our focus is on capturing TikTok’s popular trend by offering carefully selected product choices with smooth delivery. We aim to redefine the online shopping experience by providing a diverse range of products with real-time interaction capabilities. Currently, our product offerings include popular Asian snacks, small home appliances, gardening tools, 3C products, and more. We plan to introduce additional product types, such as Asian branded beauty products, personal care, fashion, and more trending popular items in Asia, to TikTok consumers.</w:t>
      </w:r>
    </w:p>
    <w:p>
      <w:pPr>
        <w:spacing w:after="0" w:line="147" w:lineRule="exact"/>
        <w:rPr>
          <w:sz w:val="20"/>
          <w:szCs w:val="20"/>
          <w:color w:val="auto"/>
        </w:rPr>
      </w:pPr>
    </w:p>
    <w:p>
      <w:pPr>
        <w:ind w:left="223" w:hanging="223"/>
        <w:spacing w:after="0"/>
        <w:tabs>
          <w:tab w:leader="none" w:pos="223"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E-Commerce Live Streaming Businesses</w:t>
      </w:r>
    </w:p>
    <w:p>
      <w:pPr>
        <w:spacing w:after="0" w:line="198" w:lineRule="exact"/>
        <w:rPr>
          <w:sz w:val="20"/>
          <w:szCs w:val="20"/>
          <w:color w:val="auto"/>
        </w:rPr>
      </w:pPr>
    </w:p>
    <w:p>
      <w:pPr>
        <w:jc w:val="both"/>
        <w:ind w:left="283" w:right="20"/>
        <w:spacing w:after="0" w:line="266" w:lineRule="auto"/>
        <w:rPr>
          <w:sz w:val="20"/>
          <w:szCs w:val="20"/>
          <w:color w:val="auto"/>
        </w:rPr>
      </w:pPr>
      <w:r>
        <w:rPr>
          <w:rFonts w:ascii="Times New Roman" w:cs="Times New Roman" w:eastAsia="Times New Roman" w:hAnsi="Times New Roman"/>
          <w:sz w:val="15"/>
          <w:szCs w:val="15"/>
          <w:color w:val="auto"/>
        </w:rPr>
        <w:t>The Company intends to expand its e-commerce offerings on the social media platform into live streaming. We plan to diversify our livestream hosts by incorporating different styles and personalities. In addition to the real-time improvisation by hosts during each live streaming session, our community interactions generate another form of content. The variety of real-time interactions between viewers and hosts or among viewers creates viewer-generated content, which becomes part of the overall entertainment and social experience offered on our platform. Such content enhances the sense of involvement and makes it more enjoyable to watch live streaming while customers are shopping online.</w:t>
      </w:r>
    </w:p>
    <w:p>
      <w:pPr>
        <w:spacing w:after="0" w:line="200" w:lineRule="exact"/>
        <w:rPr>
          <w:sz w:val="20"/>
          <w:szCs w:val="20"/>
          <w:color w:val="auto"/>
        </w:rPr>
      </w:pPr>
    </w:p>
    <w:p>
      <w:pPr>
        <w:spacing w:after="0" w:line="23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15875</wp:posOffset>
            </wp:positionV>
            <wp:extent cx="71532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3"/>
          </w:cols>
          <w:pgMar w:left="417" w:top="888" w:right="419" w:bottom="1440" w:gutter="0" w:footer="0" w:header="0"/>
        </w:sectPr>
      </w:pPr>
    </w:p>
    <w:bookmarkStart w:id="22" w:name="page23"/>
    <w:bookmarkEnd w:id="22"/>
    <w:p>
      <w:pPr>
        <w:ind w:left="3"/>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3734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1370" cy="3734435"/>
                    </a:xfrm>
                    <a:prstGeom prst="rect">
                      <a:avLst/>
                    </a:prstGeom>
                    <a:noFill/>
                  </pic:spPr>
                </pic:pic>
              </a:graphicData>
            </a:graphic>
          </wp:anchor>
        </w:drawing>
        <w:t>Revenue Model</w:t>
      </w:r>
    </w:p>
    <w:p>
      <w:pPr>
        <w:spacing w:after="0" w:line="198" w:lineRule="exact"/>
        <w:rPr>
          <w:sz w:val="20"/>
          <w:szCs w:val="20"/>
          <w:color w:val="auto"/>
        </w:rPr>
      </w:pPr>
    </w:p>
    <w:p>
      <w:pPr>
        <w:jc w:val="both"/>
        <w:ind w:left="3"/>
        <w:spacing w:after="0" w:line="272" w:lineRule="auto"/>
        <w:rPr>
          <w:sz w:val="20"/>
          <w:szCs w:val="20"/>
          <w:color w:val="auto"/>
        </w:rPr>
      </w:pPr>
      <w:r>
        <w:rPr>
          <w:rFonts w:ascii="Times New Roman" w:cs="Times New Roman" w:eastAsia="Times New Roman" w:hAnsi="Times New Roman"/>
          <w:sz w:val="15"/>
          <w:szCs w:val="15"/>
          <w:color w:val="auto"/>
          <w:highlight w:val="white"/>
        </w:rPr>
        <w:t>We aim to generate revenue from: 1) Service revenue and advertising revenue from digital human creation and customization and 2) Products’ sales revenue from social live streaming e-commerce business.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w:t>
      </w:r>
    </w:p>
    <w:p>
      <w:pPr>
        <w:spacing w:after="0" w:line="142" w:lineRule="exact"/>
        <w:rPr>
          <w:sz w:val="20"/>
          <w:szCs w:val="20"/>
          <w:color w:val="auto"/>
        </w:rPr>
      </w:pPr>
    </w:p>
    <w:p>
      <w:pPr>
        <w:ind w:left="363" w:hanging="363"/>
        <w:spacing w:after="0"/>
        <w:tabs>
          <w:tab w:leader="none" w:pos="363"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Digital Human Creation and Customization Services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The Company will monetize our services through:</w:t>
      </w:r>
    </w:p>
    <w:p>
      <w:pPr>
        <w:spacing w:after="0" w:line="190" w:lineRule="exact"/>
        <w:rPr>
          <w:sz w:val="20"/>
          <w:szCs w:val="20"/>
          <w:color w:val="auto"/>
        </w:rPr>
      </w:pPr>
    </w:p>
    <w:p>
      <w:pPr>
        <w:jc w:val="both"/>
        <w:ind w:left="283" w:right="20" w:hanging="283"/>
        <w:spacing w:after="0" w:line="265" w:lineRule="auto"/>
        <w:tabs>
          <w:tab w:leader="none" w:pos="28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Services fee for custom avatar creation: </w:t>
      </w:r>
      <w:r>
        <w:rPr>
          <w:rFonts w:ascii="Times New Roman" w:cs="Times New Roman" w:eastAsia="Times New Roman" w:hAnsi="Times New Roman"/>
          <w:sz w:val="15"/>
          <w:szCs w:val="15"/>
          <w:color w:val="auto"/>
        </w:rPr>
        <w:t>to provide customized services to our customers for designing and generating unique digital human avatars. Our target customers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mainly individuals or small and medium-sized businesses (“SMB”) in the consumer industry. For SMB customers, digital humans can be used in advertising and marketing campaigns to create engaging content, or engaging with consumers on social media platforms as a brand ambassador or spokespeople to increase brand visibility and loyalty. We can also provide ongoing maintenance, updates, and support for their digital humans. Based on the scope of work and complexity of the project, the company provides advice, project planning, and strategy development in exchange for consulting fees.</w:t>
      </w:r>
    </w:p>
    <w:p>
      <w:pPr>
        <w:spacing w:after="0" w:line="146" w:lineRule="exact"/>
        <w:rPr>
          <w:rFonts w:ascii="Times New Roman" w:cs="Times New Roman" w:eastAsia="Times New Roman" w:hAnsi="Times New Roman"/>
          <w:sz w:val="15"/>
          <w:szCs w:val="15"/>
          <w:color w:val="auto"/>
        </w:rPr>
      </w:pPr>
    </w:p>
    <w:p>
      <w:pPr>
        <w:ind w:left="283" w:right="20" w:hanging="283"/>
        <w:spacing w:after="0" w:line="295" w:lineRule="auto"/>
        <w:tabs>
          <w:tab w:leader="none" w:pos="28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Advertising partnership fee: </w:t>
      </w:r>
      <w:r>
        <w:rPr>
          <w:rFonts w:ascii="Times New Roman" w:cs="Times New Roman" w:eastAsia="Times New Roman" w:hAnsi="Times New Roman"/>
          <w:sz w:val="15"/>
          <w:szCs w:val="15"/>
          <w:color w:val="auto"/>
        </w:rPr>
        <w:t>When the Company’s own virtual influencers gain a significant following or visibility on the social media platforms, we consider partnering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brands for sponsored content or advertising opportunities related to the digital human work.</w:t>
      </w:r>
    </w:p>
    <w:p>
      <w:pPr>
        <w:spacing w:after="0" w:line="125" w:lineRule="exact"/>
        <w:rPr>
          <w:rFonts w:ascii="Times New Roman" w:cs="Times New Roman" w:eastAsia="Times New Roman" w:hAnsi="Times New Roman"/>
          <w:sz w:val="15"/>
          <w:szCs w:val="15"/>
          <w:color w:val="auto"/>
        </w:rPr>
      </w:pPr>
    </w:p>
    <w:p>
      <w:pPr>
        <w:ind w:left="283" w:right="20" w:hanging="283"/>
        <w:spacing w:after="0" w:line="295" w:lineRule="auto"/>
        <w:tabs>
          <w:tab w:leader="none" w:pos="28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Licensing fee: </w:t>
      </w:r>
      <w:r>
        <w:rPr>
          <w:rFonts w:ascii="Times New Roman" w:cs="Times New Roman" w:eastAsia="Times New Roman" w:hAnsi="Times New Roman"/>
          <w:sz w:val="15"/>
          <w:szCs w:val="15"/>
          <w:color w:val="auto"/>
        </w:rPr>
        <w:t>license the right to clients to use, deploy, or integrate digital human avatars or characters created by the company for a fee. Licensing agreements can vary based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on usage, duration, and exclusivity.</w:t>
      </w:r>
    </w:p>
    <w:p>
      <w:pPr>
        <w:spacing w:after="0" w:line="125" w:lineRule="exact"/>
        <w:rPr>
          <w:sz w:val="20"/>
          <w:szCs w:val="20"/>
          <w:color w:val="auto"/>
        </w:rPr>
      </w:pPr>
    </w:p>
    <w:p>
      <w:pPr>
        <w:ind w:left="283" w:hanging="283"/>
        <w:spacing w:after="0"/>
        <w:tabs>
          <w:tab w:leader="none" w:pos="283"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Social and Live Streaming E-Commerce Gross Merchandise Value</w:t>
      </w:r>
    </w:p>
    <w:p>
      <w:pPr>
        <w:spacing w:after="0" w:line="194" w:lineRule="exact"/>
        <w:rPr>
          <w:sz w:val="20"/>
          <w:szCs w:val="20"/>
          <w:color w:val="auto"/>
        </w:rPr>
      </w:pPr>
    </w:p>
    <w:p>
      <w:pPr>
        <w:ind w:left="283" w:right="20" w:hanging="283"/>
        <w:spacing w:after="0" w:line="295" w:lineRule="auto"/>
        <w:tabs>
          <w:tab w:leader="none" w:pos="283"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Product sales: </w:t>
      </w:r>
      <w:r>
        <w:rPr>
          <w:rFonts w:ascii="Times New Roman" w:cs="Times New Roman" w:eastAsia="Times New Roman" w:hAnsi="Times New Roman"/>
          <w:sz w:val="15"/>
          <w:szCs w:val="15"/>
          <w:color w:val="auto"/>
        </w:rPr>
        <w:t>Hosts or influencers showcase products, answer questions from viewers, and encourage viewers to make purchases of the products in real time during live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streaming.</w:t>
      </w:r>
    </w:p>
    <w:p>
      <w:pPr>
        <w:spacing w:after="0" w:line="125" w:lineRule="exact"/>
        <w:rPr>
          <w:rFonts w:ascii="Times New Roman" w:cs="Times New Roman" w:eastAsia="Times New Roman" w:hAnsi="Times New Roman"/>
          <w:sz w:val="15"/>
          <w:szCs w:val="15"/>
          <w:color w:val="auto"/>
        </w:rPr>
      </w:pPr>
    </w:p>
    <w:p>
      <w:pPr>
        <w:ind w:left="283" w:right="20" w:hanging="283"/>
        <w:spacing w:after="0" w:line="295" w:lineRule="auto"/>
        <w:tabs>
          <w:tab w:leader="none" w:pos="283"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Virtual gifts and tipping</w:t>
      </w:r>
      <w:r>
        <w:rPr>
          <w:rFonts w:ascii="Times New Roman" w:cs="Times New Roman" w:eastAsia="Times New Roman" w:hAnsi="Times New Roman"/>
          <w:sz w:val="15"/>
          <w:szCs w:val="15"/>
          <w:color w:val="auto"/>
        </w:rPr>
        <w:t>: Viewers have the option to send virtual gifts or tips to hosts or influencers during live streams. These virtual gifts are purchased with real money,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platform and the host/influencers share the revenue generated from virtual gifting.</w:t>
      </w:r>
    </w:p>
    <w:p>
      <w:pPr>
        <w:spacing w:after="0" w:line="200" w:lineRule="exact"/>
        <w:rPr>
          <w:sz w:val="20"/>
          <w:szCs w:val="20"/>
          <w:color w:val="auto"/>
        </w:rPr>
      </w:pPr>
    </w:p>
    <w:p>
      <w:pPr>
        <w:spacing w:after="0" w:line="2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15875</wp:posOffset>
            </wp:positionV>
            <wp:extent cx="715327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3"/>
          </w:cols>
          <w:pgMar w:left="417" w:top="888"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3734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1370" cy="3734435"/>
                    </a:xfrm>
                    <a:prstGeom prst="rect">
                      <a:avLst/>
                    </a:prstGeom>
                    <a:noFill/>
                  </pic:spPr>
                </pic:pic>
              </a:graphicData>
            </a:graphic>
          </wp:anchor>
        </w:drawing>
        <w:t>Environmental Matters</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As of the date of this prospectus, the Company, Shanghai Xianzhui and Ai Catalysis are not subject to any fines or legal action involving non-compliance with any relevant environmental regulation, nor are we aware of any threatened or pending action, including by any environmental regulatory authority.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Governmental Regulations in the PRC</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“Regulations on Business License” on page 12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“Regulations on Mergers &amp; Acquisitions and Overseas Listings” on page 16 of this prospectus and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on Business license</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Any company that conducts business in the PRC must have a business license that covers a particular type of work. The business license is a permit issued by Market Supervision and Administration that allows the company to conduct specific business within the government’s geographical jurisdiction. The Company’s PRC operating company, Shanghai Xianzhui’s business license covers its present business of technology development and consulting, and technical support for digital humans.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As of the date of this prospectus, as confirmed by our PRC counsel, Jiangsu Junjin Law Firm, our PRC operating subsidiary has all material permissions and approvals required for our operations in compliance with the relevant PRC laws and regulations in the PRC and no such permissions or approvals have been denied.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24" w:name="page25"/>
    <w:bookmarkEnd w:id="24"/>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875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1370" cy="6875145"/>
                    </a:xfrm>
                    <a:prstGeom prst="rect">
                      <a:avLst/>
                    </a:prstGeom>
                    <a:noFill/>
                  </pic:spPr>
                </pic:pic>
              </a:graphicData>
            </a:graphic>
          </wp:anchor>
        </w:drawing>
        <w:t>As of the date of this prospectus, as confirmed by our PRC counsel, Jiangsu Junjin Law Firm, except for the business license mentioned here, we and our operating subsidiary are not required to obtain any other permissions or approvals from any Chinese authorities to operate the business.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on Employment laws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Shanghai Xianzhui are subject to laws and regulations governing our relationship with our employees, including wage and hour requirements, working and safety conditions, citizenship requirements, work permits and travel restrictions. These include local labor laws and regulations, which may require substantial resources for compliance. China's National Labor Law, which became effective on January 1, 1995, and amended recently on December 29, 2018, and China’s National Labor Contract Law, which became effective on January 1, 2008, and amended on December 28, 2012, permit workers in both state and private enterprises in China to bargain collectively. The National Labor Law and the National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 types of enterprises to sign individual contracts, which are to be drawn up in accordance with the collective contract.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on Intellectual property protection in China</w:t>
      </w:r>
    </w:p>
    <w:p>
      <w:pPr>
        <w:spacing w:after="0" w:line="19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i w:val="1"/>
          <w:iCs w:val="1"/>
          <w:color w:val="auto"/>
        </w:rPr>
        <w:t>Patent</w:t>
      </w:r>
      <w:r>
        <w:rPr>
          <w:rFonts w:ascii="Times New Roman" w:cs="Times New Roman" w:eastAsia="Times New Roman" w:hAnsi="Times New Roman"/>
          <w:sz w:val="15"/>
          <w:szCs w:val="15"/>
          <w:color w:val="auto"/>
        </w:rPr>
        <w:t>. The PRC has domestic laws for the protection of copyrights, patents, trademarks and trade secrets. The PRC is also signatory to some of the world’s major intellectual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property conventions, including:</w:t>
      </w:r>
    </w:p>
    <w:p>
      <w:pPr>
        <w:spacing w:after="0" w:line="129" w:lineRule="exact"/>
        <w:rPr>
          <w:sz w:val="20"/>
          <w:szCs w:val="20"/>
          <w:color w:val="auto"/>
        </w:rPr>
      </w:pPr>
    </w:p>
    <w:p>
      <w:pPr>
        <w:ind w:left="540" w:hanging="26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Convention establishing the World Intellectual Property Organization (WIPO Convention) (June 4, 1980);</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Paris Convention for the Protection of Industrial Property (March 19, 1985);</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 Cooperation Treaty (January 1, 1994); and</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Agreement on Trade-Related Aspects of Intellectual Property Rights (TRIPs) (November 11, 2001).</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Patents in the PRC are governed by the China Patent Law and its Implementing Regulations, each of which went into effect in 1985. Amended versions of the China Patent Law and its Implementing Regulations came into effect in 1993, 2001 and 2009, respectively. Subsequently, the China Patent Law was further amended in 2020, taking effect on June 1, 2021, and the Implementing Regulations of the Patent Law of the People’s Republic of China were amended on December 11, 2023, becoming effective on January 20, 2024.</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PRC is signatory to the Paris Convention for the Protection of Industrial Property, in accordance with which any person who has duly filed an application for a patent in one signatory country shall enjoy, for the purposes of filing in the other countries, a right of priority during the period fixed in the convention (12 months for inventions and utility models, and 6 months for industrial designs).</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Patent Law covers three kinds of patents — patents for inventions, utility models and designs. The Chinese patent system adopts the principle of first to file, which means that a patent may be granted only to the person who first files an application. Consistent with international practice, the PRC allows the patenting of inventions or utility models that possess the characteristics of novelty, inventiveness and practical applicability only. For a design to be patentable it cannot be identical with, or similar to, any design which, before the date of filing, has been publicly disclosed in publications in the country or abroad or has been publicly used in the country, and should not be in conflict with any prior right of another.</w:t>
      </w:r>
    </w:p>
    <w:p>
      <w:pPr>
        <w:spacing w:after="0" w:line="33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i w:val="1"/>
          <w:iCs w:val="1"/>
          <w:color w:val="auto"/>
        </w:rPr>
        <w:t>Copyright</w:t>
      </w:r>
      <w:r>
        <w:rPr>
          <w:rFonts w:ascii="Times New Roman" w:cs="Times New Roman" w:eastAsia="Times New Roman" w:hAnsi="Times New Roman"/>
          <w:sz w:val="15"/>
          <w:szCs w:val="15"/>
          <w:color w:val="auto"/>
        </w:rPr>
        <w:t>. Copyright in the PRC, including copyrighted software, is principally protected under the Copyright Law of the PRC and related rules and regulations. Under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Copyright Law, the term of protection for copyrighted software is 50 years.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i w:val="1"/>
          <w:iCs w:val="1"/>
          <w:color w:val="auto"/>
        </w:rPr>
        <w:t>Trademark</w:t>
      </w:r>
      <w:r>
        <w:rPr>
          <w:rFonts w:ascii="Times New Roman" w:cs="Times New Roman" w:eastAsia="Times New Roman" w:hAnsi="Times New Roman"/>
          <w:sz w:val="15"/>
          <w:szCs w:val="15"/>
          <w:color w:val="auto"/>
        </w:rPr>
        <w:t>. Registered trademarks are protected under the Trademark Law of the PRC and related rules and regulations. Trademarks are registered with the Trademark Office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China National Intellectual Property Administration. Where registration is sought for a trademark that is identical or similar to another trademark which has already been registered or given preliminary examination and approval for use in the same or similar category of commodities or services, the application for registration of such trademark may be rejected. Trademark registrations are effective for a renewable ten-year period, unless otherwise revoked. The duration of a trademark is 10 years from the date of registration.</w:t>
      </w:r>
    </w:p>
    <w:p>
      <w:pPr>
        <w:spacing w:after="0" w:line="14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i w:val="1"/>
          <w:iCs w:val="1"/>
          <w:color w:val="auto"/>
        </w:rPr>
        <w:t>Domain names</w:t>
      </w:r>
      <w:r>
        <w:rPr>
          <w:rFonts w:ascii="Times New Roman" w:cs="Times New Roman" w:eastAsia="Times New Roman" w:hAnsi="Times New Roman"/>
          <w:sz w:val="15"/>
          <w:szCs w:val="15"/>
          <w:color w:val="auto"/>
        </w:rPr>
        <w:t>. Domain name registrations are handled through domain name service agencies established under the relevant regulations, and applicants become domain name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holders upon successful registration.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013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1370" cy="5013960"/>
                    </a:xfrm>
                    <a:prstGeom prst="rect">
                      <a:avLst/>
                    </a:prstGeom>
                    <a:noFill/>
                  </pic:spPr>
                </pic:pic>
              </a:graphicData>
            </a:graphic>
          </wp:anchor>
        </w:drawing>
        <w:t>Regulations on Tax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PRC Corporate Income Tax</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PRC corporate income tax, or CIT, is calculated based on the taxable income determined under the applicable CIT Law and its implementation rules, which became effective on January 1, 2008 and amended on February 19, 2018. The CIT Law imposes a uniform corporate income tax rate of 25% on all resident enterprises in China, including foreign-invested enterprises.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Uncertainties exist with respect to how the CIT Law applies to the tax residence status of The Company and our offshore subsidiaries. Under the CIT Law, an enterprise established outside of China with a “de facto management body” within China is considered a “resident enterprise,” which means that it is treated in a manner similar to a Chinese enterprise for corporate income tax purposes. Although the implementation rules of the CIT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Circular 82 issued by the State Administration of Taxation,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the Company does not have a PRC enterprise or enterprise group as our primary controlling shareholder and is therefore not a Chinese-controlled offshore incorporated enterprise within the meaning of Circular 82, in the absence of guidance specifically applicable to us, we have applied the guidance set forth in Circular 82 to evaluate the tax residence status of The Company and our subsidiaries organized outside the PRC.</w:t>
      </w:r>
    </w:p>
    <w:p>
      <w:pPr>
        <w:spacing w:after="0" w:line="1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According to Circular 82, a Chinese-controlled offshore incorporated enterprise will be regarded as a PRC tax resident by virtue of having a “de facto management body” in China and will be subject to PRC corporate income tax on its worldwide income only if all of the following criteria are met:</w:t>
      </w:r>
    </w:p>
    <w:p>
      <w:pPr>
        <w:spacing w:after="0" w:line="133" w:lineRule="exact"/>
        <w:rPr>
          <w:sz w:val="20"/>
          <w:szCs w:val="20"/>
          <w:color w:val="auto"/>
        </w:rPr>
      </w:pPr>
    </w:p>
    <w:p>
      <w:pPr>
        <w:ind w:left="540" w:hanging="26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primary location of the day-to-day operational management is in the PRC;</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decisions relating to the enterprise’s financial and human resource matters are made or are subject to approval by organizations or personnel in the PRC;</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enterprise’s primary assets, accounting books and records, company seals, and board and shareholders meeting minutes are located or maintained in the PRC; and</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 or more of voting board members or senior executives habitually reside in the PRC.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believe that we meet any of the conditions outlined in the immediately preceding paragraph.</w:t>
      </w:r>
    </w:p>
    <w:p>
      <w:pPr>
        <w:spacing w:after="0" w:line="19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based in China,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gains realized on the sale or other disposition of our common stock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common stock.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642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1370" cy="6642735"/>
                    </a:xfrm>
                    <a:prstGeom prst="rect">
                      <a:avLst/>
                    </a:prstGeom>
                    <a:noFill/>
                  </pic:spPr>
                </pic:pic>
              </a:graphicData>
            </a:graphic>
          </wp:anchor>
        </w:drawing>
        <w:t>Value-Added Tax and Business Tax</w:t>
      </w:r>
    </w:p>
    <w:p>
      <w:pPr>
        <w:spacing w:after="0" w:line="19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In November 2011, the MOF and the State Administration of Taxation promulgated the Pilot Plan for Imposition of Value-Added Tax to Replace Business Tax. In May and December 2013 and April 2014, the MOF and the State Administration of Taxation promulgated Circular 37, Circular 106 and Circular 43 to further expand the scope of services which are to be subject to Value-Added Tax, or VAT, instead of business tax. Pursuant to these tax rules, from August 1, 2013, VAT will be imposed to replace the business tax in certain service industries, including technology services and advertising services, on a nationwide basis. The VAT rate shall be 17% for sale or importation of goods by a taxpayer. But, unlike business tax, a taxpayer is allowed to offset the qualified input VAT paid on taxable purchases against the output VAT chargeable on the revenue from services provided.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Relating to Foreign Exchange and Dividend Distribution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Foreign Exchange Regulation</w:t>
      </w:r>
    </w:p>
    <w:p>
      <w:pPr>
        <w:spacing w:after="0" w:line="19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The principal regulations governing foreign currency exchange in China are the Foreign Exchange Administration Regulations. Under the PRC foreign exchange regulations, payments of current account items, such as profit distributions and trade and service-related foreign exchange transactions, may be made in foreign currencies without prior approval from State Administration of Foreign Exchange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 or foreign currency is to be remitted into China under the capital account, such as a capital increase or foreign currency loans to our PRC subsidiaries.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November 2012, SAFE promulgated the Circular of Further Improving and Adjusting Foreign Exchange Administration Policies on Foreign Direct Investment. Then in December 2019, Notice of State Administration of Foreign Exchange on Repeal or Invalidation of Five Regulatory Documents on Foreign Exchange Administration and Some Clauses of Seven Regulatory Documents on Foreign Exchange Administration announced that Annex 1 “Operational Procedures for Foreign Exchange Business under Capital Account Direct Investment (for SAFE’s Use)” and Annex 2 “Operational Guidelines for Foreign Exchange Business under Capital Account Direct Investment (for Banks’ Use)” to the Circular of Further Improving and Adjusting Foreign Exchange Administration Policies on Foreign Direct Investment were repealed. Pursuant to this circular, the opening of various special purpose foreign exchange accounts, such as pre-establishment expenses accounts, foreign exchange capital accounts and guarantee accounts,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34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We typically do not need to use our offshore foreign currency to fund our PRC operations. In the event we need to do so, we will apply to obtain the relevant approvals of SAFE and other PRC government authorities as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SAFE Circular 37</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have notified substantial beneficial owners of common stock who we know are PRC residents of their filing obligation. However, we may not be aware of the identities of all our beneficial owners who are PRC residents. In addition, we do not have control over our beneficial owners and cannot assure you that all of our PRC resident beneficial owners will comply with SAFE Circular 37. The failure of our beneficial owners who are PRC residents to register or amend their SAFE registrations in a timely manner pursuant to SAFE Circular 37 or the failure of future beneficial owners of our company who are PRC residents to comply with the registration procedures set forth in SAFE Circular 37 may subject such beneficial owners or our PRC subsidiaries to fines and legal sanctions. Failure to register or amend the registration may also limit our ability to contribute additional capital to our PRC subsidiaries or receive dividends or other distributions from our PRC subsidiaries or other proceeds from disposal of our PRC subsidiaries, or we may be penalized by SAFE.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40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1370" cy="6409690"/>
                    </a:xfrm>
                    <a:prstGeom prst="rect">
                      <a:avLst/>
                    </a:prstGeom>
                    <a:noFill/>
                  </pic:spPr>
                </pic:pic>
              </a:graphicData>
            </a:graphic>
          </wp:anchor>
        </w:drawing>
        <w:t>Share Option Rules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the Administration Measures on Individual Foreign Exchange Control issued by the PBOC on December 25, 2006, all foreign exchange matters involved in employee share ownership plans and share option plans in which PRC citizens participate require approval from SAFE or its authorized branch. Pursuant to SAFE Circular 37, PRC residents who participate in share incentive plans in overseas non-publicly-listed companies may submit applications to SAFE or its local branches for the foreign exchange registration with respect to offshore special purpose companies. In addition, under the Notices on Issues concerning the Foreign Exchange Administration for Domestic Individuals Participating in Share Incentive Plans of Overseas Publicly-Listed Companies, or the Share Option Rules, issued by SAFE on February 15, 2012, PRC residents who are granted shares or share options by companies listed on overseas stock exchanges under share incentive plans are required to (i) register with SAFE or its local branches, (ii) retain a qualified PRC agent, which may be a PRC subsidiary of the overseas listed company or another qualified institution selected by the PRC subsidiary, to conduct the SAFE registration and other procedures with respect to the share incentive plans on behalf of the participants, and (iii) retain an overseas institution to handle matters in connection with their exercise of share options, purchase and sale of shares or interests and funds transfers.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 of Dividend Distribution</w:t>
      </w:r>
    </w:p>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principal laws, rules and regulations governing dividend distribution by foreign-invested enterprises in the PRC are the Company Law of the PRC, as amended, the Wholly Foreign-owned Enterprise Law and its implementation regulations and the Chinese-foreign Equity Joint Venture Law and its implementation regulations. Under these laws, rules and regulations, foreign-invested enterprises may pay dividends only out of their accumulated profit, if any, as determined in accordance with PRC accounting standards and regulations. Both PRC domestic companies and wholly-foreign owned PRC enterprises are required to set aside as general reserves at least 10% of their after-tax profit, until the cumulative amount of such reserves reaches 50% of their registered capital.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on Mergers &amp; Acquisitions and Overseas Listings</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5"/>
          <w:szCs w:val="15"/>
          <w:color w:val="auto"/>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spacing w:after="0" w:line="34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5"/>
          <w:szCs w:val="15"/>
          <w:color w:val="auto"/>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5"/>
          <w:szCs w:val="15"/>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28" w:name="page29"/>
    <w:bookmarkEnd w:id="28"/>
    <w:p>
      <w:pPr>
        <w:jc w:val="both"/>
        <w:spacing w:after="0" w:line="25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479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1370" cy="5479415"/>
                    </a:xfrm>
                    <a:prstGeom prst="rect">
                      <a:avLst/>
                    </a:prstGeom>
                    <a:noFill/>
                  </pic:spPr>
                </pic:pic>
              </a:graphicData>
            </a:graphic>
          </wp:anchor>
        </w:drawing>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5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640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1370" cy="6409690"/>
                    </a:xfrm>
                    <a:prstGeom prst="rect">
                      <a:avLst/>
                    </a:prstGeom>
                    <a:noFill/>
                  </pic:spPr>
                </pic:pic>
              </a:graphicData>
            </a:graphic>
          </wp:anchor>
        </w:drawing>
        <w:t>Regulations on Cybersecurity Review</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34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From time to time, we may be involved in various claims and legal proceedings arising in the ordinary course of business. None of our Company or our subsidiaries is currently a party to any such claims or proceedings which, if decided adversely to the Company, would either, individually or in the aggregate, have a material adverse effect on our business, financial condition, results of operations or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Investing in our common stock involves a high degree of risk. This summary does not address all of the risks that we face. Please refer to the information contained in and incorporated by reference under the heading “Risk Factors” on page 21 of this prospectus.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Risks Related to Doing Business in China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Risks related to doing business in China, beginning on page 23 of this prospectus, include but are not limited to the following:</w:t>
      </w:r>
    </w:p>
    <w:p>
      <w:pPr>
        <w:spacing w:after="0" w:line="198" w:lineRule="exact"/>
        <w:rPr>
          <w:sz w:val="20"/>
          <w:szCs w:val="20"/>
          <w:color w:val="auto"/>
        </w:rPr>
      </w:pPr>
    </w:p>
    <w:p>
      <w:pPr>
        <w:jc w:val="both"/>
        <w:ind w:left="540" w:right="20" w:hanging="268"/>
        <w:spacing w:after="0" w:line="263"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Chinese mainland/Hong Kong or a Chinese mainland/Hong Kong entity, the funds or assets may not be available to fund operations or for other use outside of the Chinese mainland /Hong Kong due to interventions in or the imposition of restrictions and limitations on the ability of us or our subsidiaries by the PRC government to transfer cash or assets (see page 21 of this prospectus).</w:t>
      </w:r>
    </w:p>
    <w:p>
      <w:pPr>
        <w:spacing w:after="0" w:line="153" w:lineRule="exact"/>
        <w:rPr>
          <w:rFonts w:ascii="Times New Roman" w:cs="Times New Roman" w:eastAsia="Times New Roman" w:hAnsi="Times New Roman"/>
          <w:sz w:val="15"/>
          <w:szCs w:val="15"/>
          <w:color w:val="auto"/>
        </w:rPr>
      </w:pPr>
    </w:p>
    <w:p>
      <w:pPr>
        <w:ind w:left="540" w:right="20" w:hanging="268"/>
        <w:spacing w:after="0" w:line="290"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PRC regulation of loans to, and direct investments in, PRC entities by offshore holding companies may delay or prevent us from using proceeds from future financing activities to make loans or additional capital contributions to our PRC operating subsidiary (see page 23 of this prospectus).</w:t>
      </w:r>
    </w:p>
    <w:p>
      <w:pPr>
        <w:spacing w:after="0" w:line="132" w:lineRule="exact"/>
        <w:rPr>
          <w:rFonts w:ascii="Times New Roman" w:cs="Times New Roman" w:eastAsia="Times New Roman" w:hAnsi="Times New Roman"/>
          <w:sz w:val="15"/>
          <w:szCs w:val="15"/>
          <w:color w:val="auto"/>
        </w:rPr>
      </w:pPr>
    </w:p>
    <w:p>
      <w:pPr>
        <w:ind w:left="540" w:right="20" w:hanging="268"/>
        <w:spacing w:after="0" w:line="290"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China’s economic, political or social conditions or government policies could have a material adverse effect on our business and results of operations (see page 24 of this prospectus).</w:t>
      </w:r>
    </w:p>
    <w:p>
      <w:pPr>
        <w:spacing w:after="0" w:line="132" w:lineRule="exact"/>
        <w:rPr>
          <w:rFonts w:ascii="Times New Roman" w:cs="Times New Roman" w:eastAsia="Times New Roman" w:hAnsi="Times New Roman"/>
          <w:sz w:val="15"/>
          <w:szCs w:val="15"/>
          <w:color w:val="auto"/>
        </w:rPr>
      </w:pPr>
    </w:p>
    <w:p>
      <w:pPr>
        <w:ind w:left="540" w:right="20" w:hanging="268"/>
        <w:spacing w:after="0" w:line="290" w:lineRule="auto"/>
        <w:tabs>
          <w:tab w:leader="none" w:pos="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the Enterprise Income Tax Law, we may be classified as a “Resident Enterprise” of China. Such classification will likely result in unfavorable tax consequences to us and our non-PRC stockholders (see page 24 of this prospectus).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30" w:name="page31"/>
    <w:bookmarkEnd w:id="30"/>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3734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1370" cy="3734435"/>
                    </a:xfrm>
                    <a:prstGeom prst="rect">
                      <a:avLst/>
                    </a:prstGeom>
                    <a:noFill/>
                  </pic:spPr>
                </pic:pic>
              </a:graphicData>
            </a:graphic>
          </wp:anchor>
        </w:drawing>
        <w:t>We must comply with the Foreign Corrupt Practices Act and Chinese anti-corruption laws (see page 25 of this prospectus).</w:t>
      </w:r>
    </w:p>
    <w:p>
      <w:pPr>
        <w:spacing w:after="0" w:line="193" w:lineRule="exact"/>
        <w:rPr>
          <w:rFonts w:ascii="Times New Roman" w:cs="Times New Roman" w:eastAsia="Times New Roman" w:hAnsi="Times New Roman"/>
          <w:sz w:val="15"/>
          <w:szCs w:val="15"/>
          <w:color w:val="auto"/>
        </w:rPr>
      </w:pPr>
    </w:p>
    <w:p>
      <w:pPr>
        <w:ind w:left="268" w:hanging="268"/>
        <w:spacing w:after="0" w:line="290"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in the interpretation and enforcement of PRC laws and regulations and changes in policies, rules, and regulations in China, which may be quick with little advance notice, could limit the legal protection available to you and us (see page 26 of this prospectus).</w:t>
      </w:r>
    </w:p>
    <w:p>
      <w:pPr>
        <w:spacing w:after="0" w:line="132" w:lineRule="exact"/>
        <w:rPr>
          <w:rFonts w:ascii="Times New Roman" w:cs="Times New Roman" w:eastAsia="Times New Roman" w:hAnsi="Times New Roman"/>
          <w:sz w:val="15"/>
          <w:szCs w:val="15"/>
          <w:color w:val="auto"/>
        </w:rPr>
      </w:pPr>
    </w:p>
    <w:p>
      <w:pPr>
        <w:jc w:val="both"/>
        <w:ind w:left="268" w:hanging="268"/>
        <w:spacing w:after="0" w:line="272"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(see page 26 of this prospectus).</w:t>
      </w:r>
    </w:p>
    <w:p>
      <w:pPr>
        <w:spacing w:after="0" w:line="146" w:lineRule="exact"/>
        <w:rPr>
          <w:rFonts w:ascii="Times New Roman" w:cs="Times New Roman" w:eastAsia="Times New Roman" w:hAnsi="Times New Roman"/>
          <w:sz w:val="15"/>
          <w:szCs w:val="15"/>
          <w:color w:val="auto"/>
        </w:rPr>
      </w:pPr>
    </w:p>
    <w:p>
      <w:pPr>
        <w:ind w:left="268" w:hanging="268"/>
        <w:spacing w:after="0" w:line="290"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may be materially and adversely affected if our PRC subsidiaries declare bankruptcy or become subject to a dissolution or liquidation proceeding (see page 26 of this prospectus).</w:t>
      </w:r>
    </w:p>
    <w:p>
      <w:pPr>
        <w:spacing w:after="0" w:line="132" w:lineRule="exact"/>
        <w:rPr>
          <w:rFonts w:ascii="Times New Roman" w:cs="Times New Roman" w:eastAsia="Times New Roman" w:hAnsi="Times New Roman"/>
          <w:sz w:val="15"/>
          <w:szCs w:val="15"/>
          <w:color w:val="auto"/>
        </w:rPr>
      </w:pPr>
    </w:p>
    <w:p>
      <w:pPr>
        <w:jc w:val="both"/>
        <w:ind w:left="268" w:hanging="268"/>
        <w:spacing w:after="0" w:line="266"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27 of this prospectus).</w:t>
      </w:r>
    </w:p>
    <w:p>
      <w:pPr>
        <w:spacing w:after="0" w:line="151"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Increases in labor costs in the PRC may adversely affect our business and results of operations (see page 28 of this prospectus).</w:t>
      </w:r>
    </w:p>
    <w:p>
      <w:pPr>
        <w:spacing w:after="0" w:line="193" w:lineRule="exact"/>
        <w:rPr>
          <w:rFonts w:ascii="Times New Roman" w:cs="Times New Roman" w:eastAsia="Times New Roman" w:hAnsi="Times New Roman"/>
          <w:sz w:val="15"/>
          <w:szCs w:val="15"/>
          <w:color w:val="auto"/>
        </w:rPr>
      </w:pPr>
    </w:p>
    <w:p>
      <w:pPr>
        <w:ind w:left="268" w:hanging="268"/>
        <w:spacing w:after="0" w:line="290"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29 of this prospectus).</w:t>
      </w:r>
    </w:p>
    <w:p>
      <w:pPr>
        <w:spacing w:after="0" w:line="132" w:lineRule="exact"/>
        <w:rPr>
          <w:rFonts w:ascii="Times New Roman" w:cs="Times New Roman" w:eastAsia="Times New Roman" w:hAnsi="Times New Roman"/>
          <w:sz w:val="15"/>
          <w:szCs w:val="15"/>
          <w:color w:val="auto"/>
        </w:rPr>
      </w:pPr>
    </w:p>
    <w:p>
      <w:pPr>
        <w:jc w:val="both"/>
        <w:ind w:left="268" w:hanging="268"/>
        <w:spacing w:after="0" w:line="272"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29 of this prospectus).</w:t>
      </w:r>
    </w:p>
    <w:p>
      <w:pPr>
        <w:spacing w:after="0" w:line="146" w:lineRule="exact"/>
        <w:rPr>
          <w:rFonts w:ascii="Times New Roman" w:cs="Times New Roman" w:eastAsia="Times New Roman" w:hAnsi="Times New Roman"/>
          <w:sz w:val="15"/>
          <w:szCs w:val="15"/>
          <w:color w:val="auto"/>
        </w:rPr>
      </w:pPr>
    </w:p>
    <w:p>
      <w:pPr>
        <w:jc w:val="both"/>
        <w:ind w:left="268" w:hanging="268"/>
        <w:spacing w:after="0" w:line="272" w:lineRule="auto"/>
        <w:tabs>
          <w:tab w:leader="none" w:pos="268"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32 of this prospectus).</w:t>
      </w:r>
    </w:p>
    <w:p>
      <w:pPr>
        <w:spacing w:after="0" w:line="200" w:lineRule="exact"/>
        <w:rPr>
          <w:sz w:val="20"/>
          <w:szCs w:val="20"/>
          <w:color w:val="auto"/>
        </w:rPr>
      </w:pPr>
    </w:p>
    <w:p>
      <w:pPr>
        <w:spacing w:after="0" w:line="232"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15875</wp:posOffset>
            </wp:positionV>
            <wp:extent cx="71532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68"/>
          </w:cols>
          <w:pgMar w:left="692" w:top="892" w:right="439" w:bottom="1440" w:gutter="0" w:footer="0" w:header="0"/>
        </w:sectPr>
      </w:pPr>
    </w:p>
    <w:bookmarkStart w:id="31" w:name="page32"/>
    <w:bookmarkEnd w:id="31"/>
    <w:p>
      <w:pPr>
        <w:jc w:val="both"/>
        <w:ind w:left="540" w:right="20" w:hanging="268"/>
        <w:spacing w:after="0" w:line="266"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944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1370" cy="5944870"/>
                    </a:xfrm>
                    <a:prstGeom prst="rect">
                      <a:avLst/>
                    </a:prstGeom>
                    <a:noFill/>
                  </pic:spPr>
                </pic:pic>
              </a:graphicData>
            </a:graphic>
          </wp:anchor>
        </w:drawing>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 (see page 34 of this prospectus).</w:t>
      </w:r>
    </w:p>
    <w:p>
      <w:pPr>
        <w:spacing w:after="0" w:line="151" w:lineRule="exact"/>
        <w:rPr>
          <w:rFonts w:ascii="Times New Roman" w:cs="Times New Roman" w:eastAsia="Times New Roman" w:hAnsi="Times New Roman"/>
          <w:sz w:val="15"/>
          <w:szCs w:val="15"/>
          <w:color w:val="auto"/>
        </w:rPr>
      </w:pPr>
    </w:p>
    <w:p>
      <w:pPr>
        <w:jc w:val="both"/>
        <w:ind w:left="540" w:right="20" w:hanging="268"/>
        <w:spacing w:after="0" w:line="272"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35 of this prospectus).</w:t>
      </w:r>
    </w:p>
    <w:p>
      <w:pPr>
        <w:spacing w:after="0" w:line="146" w:lineRule="exact"/>
        <w:rPr>
          <w:rFonts w:ascii="Times New Roman" w:cs="Times New Roman" w:eastAsia="Times New Roman" w:hAnsi="Times New Roman"/>
          <w:sz w:val="15"/>
          <w:szCs w:val="15"/>
          <w:color w:val="auto"/>
        </w:rPr>
      </w:pPr>
    </w:p>
    <w:p>
      <w:pPr>
        <w:jc w:val="both"/>
        <w:ind w:left="540" w:right="20" w:hanging="268"/>
        <w:spacing w:after="0" w:line="266"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31 of this prospectus).</w:t>
      </w:r>
    </w:p>
    <w:p>
      <w:pPr>
        <w:spacing w:after="0" w:line="151" w:lineRule="exact"/>
        <w:rPr>
          <w:rFonts w:ascii="Times New Roman" w:cs="Times New Roman" w:eastAsia="Times New Roman" w:hAnsi="Times New Roman"/>
          <w:sz w:val="15"/>
          <w:szCs w:val="15"/>
          <w:color w:val="auto"/>
        </w:rPr>
      </w:pPr>
    </w:p>
    <w:p>
      <w:pPr>
        <w:jc w:val="both"/>
        <w:ind w:left="540" w:right="20" w:hanging="268"/>
        <w:spacing w:after="0" w:line="263"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32 of this prospectus).</w:t>
      </w:r>
    </w:p>
    <w:p>
      <w:pPr>
        <w:spacing w:after="0" w:line="153" w:lineRule="exact"/>
        <w:rPr>
          <w:rFonts w:ascii="Times New Roman" w:cs="Times New Roman" w:eastAsia="Times New Roman" w:hAnsi="Times New Roman"/>
          <w:sz w:val="15"/>
          <w:szCs w:val="15"/>
          <w:color w:val="auto"/>
        </w:rPr>
      </w:pPr>
    </w:p>
    <w:p>
      <w:pPr>
        <w:ind w:left="540" w:right="20" w:hanging="268"/>
        <w:spacing w:after="0" w:line="290"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M&amp;A Rules and certain other PRC regulations establish complex procedures for some acquisitions of Chinese companies by foreign investors, which could make it more difficult for us to pursue growth through acquisitions in China (see page 33 of this prospectus).</w:t>
      </w:r>
    </w:p>
    <w:p>
      <w:pPr>
        <w:spacing w:after="0" w:line="132" w:lineRule="exact"/>
        <w:rPr>
          <w:rFonts w:ascii="Times New Roman" w:cs="Times New Roman" w:eastAsia="Times New Roman" w:hAnsi="Times New Roman"/>
          <w:sz w:val="15"/>
          <w:szCs w:val="15"/>
          <w:color w:val="auto"/>
        </w:rPr>
      </w:pPr>
    </w:p>
    <w:p>
      <w:pPr>
        <w:ind w:left="540" w:right="20" w:hanging="268"/>
        <w:spacing w:after="0" w:line="290"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unwinding and disposal of our previous VIE structure may not be liability-free and we may be seemed to be in violation of PRC laws regulating our industry and operations (see page 35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Implications of Being a Smaller Reporting Company</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We qualify as a “smaller reporting company” as defined in Rule 405 of the Securities Act and Item 10 of Regulation S-K. A smaller reporting company may take advantage of specified reduced reporting and other burdens that are otherwise applicable generally to public companies. These provisions include:</w:t>
      </w:r>
    </w:p>
    <w:p>
      <w:pPr>
        <w:spacing w:after="0" w:line="133" w:lineRule="exact"/>
        <w:rPr>
          <w:sz w:val="20"/>
          <w:szCs w:val="20"/>
          <w:color w:val="auto"/>
        </w:rPr>
      </w:pPr>
    </w:p>
    <w:p>
      <w:pPr>
        <w:ind w:left="540" w:right="20" w:hanging="268"/>
        <w:spacing w:after="0" w:line="290"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include only two years of audited financial statements and only two years of related management’s discussion and analysis of financial condition and results of operations disclosure;</w:t>
      </w:r>
    </w:p>
    <w:p>
      <w:pPr>
        <w:spacing w:after="0" w:line="132"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reduced disclosure obligation regarding executive compensation under Item 402 of Regulation S-K;</w:t>
      </w:r>
    </w:p>
    <w:p>
      <w:pPr>
        <w:spacing w:after="0" w:line="19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exemption from the auditor attestation requirement in the assessment of our internal control over financial reporting pursuant to the Sarbanes-Oxley Act of 2002.</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We may take advantage of these provisions for so long as we remain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Our principal executive office is located at 111 Town Square Place, Suite #1203, Jersey City, NJ 07310, and our telephone number is: +1-347-2590292. We do not incorporate the information on our website into this prospectus and you should not consider any information on, or that can be accessed through, our website as part of this prospectus.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SEC maintains an internet site at http://www.sec.gov that contains reports, information statements, and other information regarding issuers that file electronically with the SEC.</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15875</wp:posOffset>
            </wp:positionV>
            <wp:extent cx="71532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92" w:right="4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You should carefully review the risks and uncertainties described in this section and under the heading “Risk Factors” contained in any applicable prospectus supplement and under similar headings in our 2024 Annual Report as updated by our subsequent filings, some of which are incorporated by reference into this prospectus, before deciding whether to purchase any of the securities being registered pursuant to the registration statement of which this prospectus forms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For more information, see “Where You Can Find Additional Information” and “Incorporation of Documents by Reference.”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Corporate Structure</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w:t>
      </w:r>
    </w:p>
    <w:p>
      <w:pPr>
        <w:spacing w:after="0" w:line="12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54"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3" w:name="page34"/>
    <w:bookmarkEnd w:id="33"/>
    <w:p>
      <w:pPr>
        <w:jc w:val="both"/>
        <w:spacing w:after="0" w:line="272" w:lineRule="auto"/>
        <w:rPr>
          <w:sz w:val="20"/>
          <w:szCs w:val="20"/>
          <w:color w:val="auto"/>
        </w:rPr>
      </w:pPr>
      <w:r>
        <w:rPr>
          <w:rFonts w:ascii="Times New Roman" w:cs="Times New Roman" w:eastAsia="Times New Roman" w:hAnsi="Times New Roman"/>
          <w:sz w:val="15"/>
          <w:szCs w:val="15"/>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2024 and as of the date of this prospectus, we do not have a VIE structure.</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5"/>
          <w:szCs w:val="15"/>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 See “Prospectus Summary – Asset Transfer between our Company and our Subsidiaries.”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Doing Business in China</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PRC regulation of loans to, and direct investments in, PRC entities by offshore holding companies may delay or prevent us from using proceeds from future financing activities to make loans or additional capital contributions to our PRC operating subsidiary.</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GD Culture Group Limited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5" w:name="page36"/>
    <w:bookmarkEnd w:id="35"/>
    <w:p>
      <w:pPr>
        <w:jc w:val="both"/>
        <w:spacing w:after="0" w:line="260" w:lineRule="auto"/>
        <w:rPr>
          <w:sz w:val="20"/>
          <w:szCs w:val="20"/>
          <w:color w:val="auto"/>
        </w:rPr>
      </w:pPr>
      <w:r>
        <w:rPr>
          <w:rFonts w:ascii="Times New Roman" w:cs="Times New Roman" w:eastAsia="Times New Roman" w:hAnsi="Times New Roman"/>
          <w:sz w:val="15"/>
          <w:szCs w:val="15"/>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may finance our subsidiaries by means of loans or capital contributions. Any capital contributions or loans that we, as an offshore entity, make to our Company’s PRC operating subsidiary, Shanghai Xianzhui, are subject to the above PRC regulations. We may not be able to obtain necessary government registrations or approvals on a timely basis, if at all. If we fail to obtain such approvals or make such registration, our ability to make equity contributions or provide loans to our Company’s PRC subsidiaries, including Shanghai Xianzhui, or to fund their operations may be negatively affected, which may adversely affect their liquidity and ability to fund their working capital and expansion projects and meet their obligations and commitments. As a result, our liquidity and our ability to fund and expand our business may be negatively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China’s economic, political or social conditions or government policies could have a material adverse effect on our business and results of operations.</w:t>
      </w:r>
    </w:p>
    <w:p>
      <w:pPr>
        <w:spacing w:after="0" w:line="19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While the majority of the Company’s operation is in the United States, all of Shanghai Xianzhui’s operations and assets are located in China. Accordingly, Shanghai Xianzhui’s business, prospects, financial condition and results of operations may be influenced to a significant degree by political, economic and social conditions in China generally and by continued economic growth in China as a whole.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China’s economic growth has slowed down. Any prolonged slowdown in the Chinese economy may reduce the demand for our products and services and materially and adversely affect our business and results of operations.</w:t>
      </w:r>
    </w:p>
    <w:p>
      <w:pPr>
        <w:spacing w:after="0" w:line="1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China passed the Enterprise Income Tax Law, or the EIT Law, and its implementing rules, both of which became effective on January 1, 2008. The EIT Law was amended and took effect on December 29, 2018, and its implementing rules became effective on January 20, 2025. Under the EIT Law, an enterprise established outside of China with “de facto management bodies” within China is considered a “resident enterprise,” meaning that it can be treated in a manner similar to a Chinese enterprise for enterprise income tax purposes. The implementing rules of the EIT Law define de facto management as “substantial and overall management and control over the production and operations, personnel, accounting, and properties” of the enterprise.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5"/>
          <w:szCs w:val="15"/>
          <w:color w:val="auto"/>
        </w:rPr>
        <w:t>On April 22, 2009, the State Administration of Taxation of China issued the Notice Concerning Relevant Issues Regarding Cognizance of Chinese Investment Controlled Enterprises Incorporated Offshore as Resident Enterprises pursuant to Criteria of de facto Management Bodies, or the Notice, further interpreting the application of the EIT Law and its implementation to offshore entities controlled by a Chinese enterprise or group. Pursuant to the Notice, an enterprise incorporated in an offshore jurisdiction and controlled by a Chinese enterprise or group will be classified as a “non-domestically incorporated resident enterprise” if (i) its senior management in charge of daily operations reside or perform their duties mainly in China; (ii) its financial or personnel decisions are made or approved by bodies or persons in China; (iii) its substantial assets and properties, accounting books, corporate stamps, board and stockholder minutes are kept in China; and (iv) all of its directors with voting rights or senior management reside in China. A resident enterprise would be subject to an enterprise income tax rate of 25% on its worldwide income and must pay a withholding tax at a rate of 10% when paying dividends to its non-PRC stockholders. Because substantially all of our operations and senior management are located within the PRC and are expected to remain so for the foreseeable future, we may be considered a PRC resident enterprise for enterprise income tax purposes and therefore subject to the PRC enterprise income tax at the rate of 25% on its worldwide income. However, it remains unclear as to whether the Notice is applicable to an offshore enterprise controlled by a Chinese natural person. Therefore, it is unclear how tax authorities will determine tax residency based on the facts of each case.</w:t>
      </w: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sales in China. However, under the EIT Law and its implementing rules, dividends paid to us from our PRC subsidiaries would be deemed as “qualified investment income between resident enterprises” and therefore qualify as “tax-exempt income” pursuant to clause 26 of the EIT Law. Second, it is possible that future guidance issued with respect to the new “resident enterprise” classification could result in a situation in which the dividends we pay with respect to our common stock, or the gain our non-PRC shareholders may realize from the transfer of our common stock,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stockholders are required to pay PRC income tax on gains on the transfer of their common stock,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must comply with the Foreign Corrupt Practices Act and Chinese anti-corruption laws</w:t>
      </w:r>
      <w:r>
        <w:rPr>
          <w:rFonts w:ascii="Times New Roman" w:cs="Times New Roman" w:eastAsia="Times New Roman" w:hAnsi="Times New Roman"/>
          <w:sz w:val="15"/>
          <w:szCs w:val="15"/>
          <w:b w:val="1"/>
          <w:bCs w:val="1"/>
          <w:color w:val="auto"/>
        </w:rPr>
        <w:t>.</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are required to comply with the United States Foreign Corrupt Practices Act, or FCPA, which prohibits U.S. companies from engaging in bribery or other prohibited payments to foreign officials for the purpose of obtaining or retaining business. Foreign companies, including some of our competitors, are not subject to these prohibitions. The PRC also strictly prohibits bribery of government officials. Certain of our suppliers are owned by the PRC government and our dealings with them are likely to be considered to be with government officials for these purposes. Corruption, extortion, bribery, pay-offs, theft and other fraudulent practices occur from time-to-time in China. It is our policy to prohibit our employees, and to discourage our agents, representatives and consultants, from engaging in such practices.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Our employees, agents, representatives and consultants may not always be subject to our control. If any of them violates FCPA or other anti-corruption law, we might be held responsible. We could suffer severe penalties in that event. In addition, the US government may seek to hold us liable for successor liability FCPA violations committed by companies in which we invest or which we acquire.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7" w:name="page38"/>
    <w:bookmarkEnd w:id="37"/>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Shanghai Xianzhui is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Shanghai Xianzhui may not be aware of its violation of these policies and rules until sometime after the violation. Such uncertainties, including uncertainties over the scope and effect of the contractual, property (including intellectual property), and procedural rights, and any failure to respond to changes in the regulatory environment in China could materially and adversely affect Shanghai Xianzhui’s business and impede Shanghai Xianzhui’s ability to continue its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may be materially and adversely affected if our PRC subsidiaries declare bankruptcy or become subject to a dissolution or liquidation proceeding.</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Shanghai Xianzhui holds certain assets that are important to our business operations. If Shanghai Xianzhui undergoes a voluntary or involuntary liquidation proceeding, unrelated third-party creditors may claim rights to some or all of these assets, thereby hindering our ability to operate our business, which could materially and adversely affect Shanghai Xianzhui’s business, financial condition and results of operations.</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According to SAFE’s Notice of the State Administration of Foreign Exchange on Further Improving and Adjusting Foreign Exchange Administration Policies for Direct Investment, effective on December 17, 2012, and the Provisions for Administration of Foreign Exchange Relating to Inbound Direct Investment by Foreign Investors, effective May 13, 2013, if any of our PRC subsidiaries undergoes a voluntary or involuntary liquidation proceeding, prior approval from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w:t>
      </w:r>
    </w:p>
    <w:p>
      <w:pPr>
        <w:spacing w:after="0" w:line="1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Chinese government has significant oversight and discretion over the conduct of Shanghai Xianzhui and may intervene or influence its operations at any time as the government deems appropriate to further regulatory, political, and societal goals, which could result in a material change in the operations of Shanghai Xianzhui and/or the value of our common stock.</w:t>
      </w:r>
    </w:p>
    <w:p>
      <w:pPr>
        <w:spacing w:after="0" w:line="3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the business, financial condition, and results of operations of Shanghai Xianzhui. Furthermore, if China adopts more stringent standards with respect to certain areas such as environmental protection or corporate social responsibilities, Shanghai Xianzhui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Shanghai Xianzhui, including the promulgation of new laws, or changes to existing laws or the interpretation or enforcement thereof. These uncertainties could limit the legal protections available to us and our investors, including you.</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The Chinese government exerts substantial influence over the manner in which we must conduct our business activities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Chinese government plays a significant role in regulating and, through state ownership, shaping the development of virtually every sector of the Chinese economy. Under the current government leadership, the government of the PRC has been pursuing reform policies which have adversely affected China-based operating companies whose securities are listed in the United States, with significant policies changes being made from time to time without notice. There are substantial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1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General Office of the Central Committee of the Communist Party of China and the General Office of the State Council jointly issued the Opinions on Severely Cracking Down on Illegal Securities Activities According to Law, or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prospectus, we have not received any inquiry, notice, warning, or sanctions from PRC government authorities in connection with the Opinions.</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June 10, 2021, the Standing Committee of the National People’s Congress of China, or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August 17,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August 20, 2021, the SCNPC promulgated the Personal Information Protection Law of the PRC, or the Personal Information Protection Law, which took effect on November 1,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5"/>
          <w:szCs w:val="15"/>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neither the Company not the PRC subsidiaries are required to fulfill filing procedures with the CSRC to continue to offer our securities, or continue listing on the Nasdaq Capital Market, considering that (i) the operating revenue, total profit, total assets and net assets of the Company’s subsidiaries that were established in China for the year ended December 31, 2023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belief stated herein. See “—Risk Factors Relating to Doing Business in China—The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3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As such, the Company’s businesses may be subject to various government and regulatory interference in the provinces in which they operate. The Company could be subject to regulation by various political and regulatory entities, including various local and municipal agencies and government sub-divisions. The Company may incur increased costs necessary to comply with existing and newly adopted laws and regulations or penalties for any failure to comply. The Chinese government may intervene or influence our operations at any time with little advance notice, which could result in a material change in our operations and in the value of our common stock.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Furthermore, it is uncertain when and whether the Company will be required to obtain permission from the PRC government to list on U.S. exchanges in the future, and even when such permission is obtained, whether it will be denied or rescinded. Although the Company is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 As a result, our common stock may decline in value dramatically or even become worthless should we become subject to new requirement to obtain permission from the PRC government to list on U.S. exchange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Fluctuations in exchange rates could adversely affect our business and the value of our securities.</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Changes in the value of the RMB against the U.S. dollar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common stock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5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Increases in labor costs in the PRC may adversely affect our business and results of operations.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currently effective PRC Labor Contract Law, or the Labor Contract Law was first adopted on June 29, 2007 and later amended on December 28, 2012. The PRC Labor Contract Law has reinforced the protection of employees who, under the Labor Contract Law, have the right, among others, to have written employment contracts, to enter into employment contracts with no fixed term under certain circumstances, to receive overtime wages and to terminate or alter terms in labor contracts. Furthermore, the Labor Contract Law sets forth additional restrictions and increases the costs involved with dismissing employees. To the extent that we need to significantly reduce our workforce, the Labor Contract Law could adversely affect our ability to do so in a timely and cost-effective manner, and our results of operations could be adversely affected. In addition, for employees whose employment contracts include noncompetition terms, the Labor Contract Law requires us to pay monthly compensation after such employment is terminated, which will increase our operating expenses.</w:t>
      </w:r>
    </w:p>
    <w:p>
      <w:pPr>
        <w:spacing w:after="0" w:line="34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We expect that our labor costs, including wages and employee benefits, will continue to increase. Unless we are able to pass on these increased labor costs to our vehicle buyers by increasing the prices of our products and services, our financial condition and results of operations would be materially and adversely affected.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0" w:name="page41"/>
    <w:bookmarkEnd w:id="40"/>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July 2014, SAFE promulgated the Circular on Issues Concerning Foreign Exchange Administration over the Overseas Investment and Financing and Roundtrip Investment by Domestic Residents via Special Purpose Vehicles, or “Circular 37”. According to Circular 37, prior registration with the local SAFE branch is required for Chinese residents to contribute domestic assets or interests to offshore companies, known as Special Purpose Vehicles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spacing w:after="0" w:line="3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Shanghai Xianzhui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expect to obtain information about various aspects of our operations as well as regarding our employees and third parties.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or Cyber Security Law, which became effective on June 1, 2017, and was amended on October 28, 2025 and took effect on January 1, 2026.</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4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The Civil Code of the PRC (issued by the PRC National People’s Congress on May 28, 2020 and effective from January 1, 2021) provides main legal basis for privacy and personal information infringement claims under the Chinese civil laws. PRC regulators, including the CAC, MIIT, and the Ministry of Public Security have been increasingly focused on regulation in the areas of data security and data protection.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December 2021, the CAC and certain other PRC regulatory authorities promulgated the Cybersecurity Review Measures, which became effective in February 2022. Pursuant to the Cybersecurity Review Measures, operators of critical information infrastructure must pass a cybersecurity review when purchasing network products and services which do or may affect national security. 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CSL and any other cybersecurity and related laws may limit the use and adoption of our products and services and could have an adverse impact on our business. On January 4, 2022, thirteen PRC regulatory agencies, namely, the CAC, the NDRC, the Ministry of Industry and Information Technology, the Ministry of Public Security, the Ministry of State Security, the MOF,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any “operator of network platform” holding personal information of more than one million users which seeks to list in a foreign stock exchange should also be subject to cybersecurity review.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5"/>
          <w:szCs w:val="15"/>
          <w:color w:val="auto"/>
        </w:rPr>
        <w:t>On July 10, 2021, the CAC issued a revised draft of the Measures for Cybersecurity Review for public comments (the “Review Measures”), and 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w:t>
      </w:r>
    </w:p>
    <w:p>
      <w:pPr>
        <w:spacing w:after="0" w:line="1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2" w:name="page43"/>
    <w:bookmarkEnd w:id="42"/>
    <w:p>
      <w:pPr>
        <w:jc w:val="both"/>
        <w:spacing w:after="0" w:line="266" w:lineRule="auto"/>
        <w:rPr>
          <w:sz w:val="20"/>
          <w:szCs w:val="20"/>
          <w:color w:val="auto"/>
        </w:rPr>
      </w:pPr>
      <w:r>
        <w:rPr>
          <w:rFonts w:ascii="Times New Roman" w:cs="Times New Roman" w:eastAsia="Times New Roman" w:hAnsi="Times New Roman"/>
          <w:sz w:val="15"/>
          <w:szCs w:val="15"/>
          <w:color w:val="auto"/>
        </w:rPr>
        <w:t>We cannot assure you that PRC regulatory agencies, including the CAC, would take the same view as we do, and there is no assurance that we can fully or timely comply with such laws. In the event that we are subject to any mandatory cybersecurity review and other specific actions required by the CAC, we face uncertainty as to whether any clearance or other required actions can be timely completed, or at all. Given such uncertainty, we may be further required to suspend our relevant business, shut down our website, or face other penalties, which could materially and adversely affect our business, financial condition, and results of operations.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 Governmental Regulations in the PRC — Regulations on Business License” on page 12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Mergers &amp; Acquisitions and Overseas Listings” on page 16 of this prospectus and “—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3" w:name="page44"/>
    <w:bookmarkEnd w:id="43"/>
    <w:p>
      <w:pPr>
        <w:jc w:val="both"/>
        <w:spacing w:after="0" w:line="290" w:lineRule="auto"/>
        <w:rPr>
          <w:sz w:val="20"/>
          <w:szCs w:val="20"/>
          <w:color w:val="auto"/>
        </w:rPr>
      </w:pPr>
      <w:r>
        <w:rPr>
          <w:rFonts w:ascii="Times New Roman" w:cs="Times New Roman" w:eastAsia="Times New Roman" w:hAnsi="Times New Roman"/>
          <w:sz w:val="15"/>
          <w:szCs w:val="15"/>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Recently, 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listing and future offerings. If we become the subject of any unfavorable allegations, whether such allegations are proven to be true or untrue, we will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our common stock could be rendered worthless.</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4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May 20, 2020, the U.S. Senate passed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5"/>
          <w:szCs w:val="15"/>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On December 16, 2021, PCAOB announced the PCAOB Holding Foreign Companies Accountable Act determinations (the “PCAOB determinations”) relating to the PCAOB’s inability to inspect or investigate completely registered public accounting firms headquartered in Chinese mainland of the PRC or Hong Kong, a Special Administrative Region and dependency of the PRC, because of a position taken by one or more authorities in the PRC or Hong Kong.</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August 26, 2022, the CSRC,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 Our auditor, HTL,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However, these recent developments would add uncertainties to our listing and future offerings,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 the event it is later determined that the PCAOB is unable to inspect or investigate completely the Company’s auditor because of a position taken by an authority in a foreign jurisdiction, then such lack of inspection could cause trading in the Company’s securities to be prohibited under the HFCAA, and ultimately result in a determination by a securities exchange to delist the Company’s securities.</w:t>
      </w:r>
    </w:p>
    <w:p>
      <w:pPr>
        <w:spacing w:after="0" w:line="1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Regulations on Mergers and Acquisitions of Domestic Companies by Foreign Investors, or the M&amp;A Rules,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SCNPC effective in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 2 billion, and at least two of these operators each had a turnover of more than RMB 400 million within China) must be cleared by MOFCOM before they can be completed.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5" w:name="page46"/>
    <w:bookmarkEnd w:id="45"/>
    <w:p>
      <w:pPr>
        <w:jc w:val="both"/>
        <w:spacing w:after="0" w:line="260" w:lineRule="auto"/>
        <w:rPr>
          <w:sz w:val="20"/>
          <w:szCs w:val="20"/>
          <w:color w:val="auto"/>
        </w:rPr>
      </w:pPr>
      <w:r>
        <w:rPr>
          <w:rFonts w:ascii="Times New Roman" w:cs="Times New Roman" w:eastAsia="Times New Roman" w:hAnsi="Times New Roman"/>
          <w:sz w:val="15"/>
          <w:szCs w:val="15"/>
          <w:color w:val="auto"/>
        </w:rPr>
        <w:t>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5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If Shanghai Xianzhui fails to maintain the requisite licenses and approvals required under PRC law, our business, financial condition and results of operations may be materially and adversely affected.</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Business License” on page 12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Mergers &amp; Acquisitions and Overseas Listings” on page 16 of this prospectus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GDC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As of the date of this prospectus, we are not materially affected by recent statements by the PRC government indicating an intention to exert more oversight and control over offerings that are conducted overseas and/or foreign investment in China-based issuers. However, due to certain long arm provisions in the current PRC laws and regulations, there remains regulatory uncertainty with respect to the implementation and interpretation of laws in the PRC. The PRC government may choose to exercise significant oversight and discretion, and the regulations to which our operating subsidiaries are subject may change rapidly and with little notice to us and our operating subsidiaries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and our operating subsidiaries’ current policies and practices. New laws, regulations, and other government directives in the PRC may also be costly to comply with, and such compliance or any associated inquiries or investigations or any other government actions may:</w:t>
      </w:r>
    </w:p>
    <w:p>
      <w:pPr>
        <w:spacing w:after="0" w:line="156" w:lineRule="exact"/>
        <w:rPr>
          <w:sz w:val="20"/>
          <w:szCs w:val="20"/>
          <w:color w:val="auto"/>
        </w:rPr>
      </w:pPr>
    </w:p>
    <w:p>
      <w:pPr>
        <w:ind w:left="540" w:hanging="274"/>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 or impede our operating subsidiaries’ development;</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result in negative publicity or increase our operating subsidiaries’ operating costs;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 significant management time and attention; and</w:t>
      </w:r>
    </w:p>
    <w:p>
      <w:pPr>
        <w:spacing w:after="0" w:line="193"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our operating subsidiaries to remedies, administrative penalties and even criminal liabilities that may harm our operating subsidiaries’ business, including fines assessed for our operating subsidiaries’ current or historical operations, or demands or orders that our operating subsidiaries modify or even cease our operating subsidiaries’ business practices.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6" w:name="page47"/>
    <w:bookmarkEnd w:id="46"/>
    <w:p>
      <w:pPr>
        <w:jc w:val="both"/>
        <w:spacing w:after="0" w:line="272" w:lineRule="auto"/>
        <w:rPr>
          <w:sz w:val="20"/>
          <w:szCs w:val="20"/>
          <w:color w:val="auto"/>
        </w:rPr>
      </w:pPr>
      <w:r>
        <w:rPr>
          <w:rFonts w:ascii="Times New Roman" w:cs="Times New Roman" w:eastAsia="Times New Roman" w:hAnsi="Times New Roman"/>
          <w:sz w:val="15"/>
          <w:szCs w:val="15"/>
          <w:color w:val="auto"/>
        </w:rPr>
        <w:t>We are aware that recently, the PRC government initiated a series of regulatory actions and statements to regulate business operations in certain areas in the PRC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Since these statements and regulatory actions are new, it is highly uncertain how soon the PRC legislative or administrative regulation making bodies will respond or what existing or new laws or regulations or detailed implementations and interpretations will be modified or promulgated, if any, or what the potential impact that any such modified or new laws and regulations would have on our operating subsidiaries’ daily business operation, the ability to accept foreign investments and list on an U.S. or other foreign exchange.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PRC government may intervene or influence our operating subsidiaries’ operations at any time and may exert more control over offerings conducted overseas and foreign investment in China-based issuers, which may result in a material change in our operating subsidiaries’ operations and/or the value of our ordinary shares. Any legal or regulatory changes that restrict or otherwise unfavorably impact our operating subsidiaries’ ability to conduct their business could decrease demand for their services, reduce revenues, increase costs, require our operating subsidiaries to obtain more licenses, permits, approvals or certificates, or subject them to additional liabilities. To the extent any new or more stringent measures are implemented, our operating subsidiaries’ business, financial condition and results of operations could be adversely affected, and the value of our ordinary shares could decrease or become worthless.</w:t>
      </w:r>
    </w:p>
    <w:p>
      <w:pPr>
        <w:spacing w:after="0" w:line="1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Recent statements by the PRC government have indicated an intent to exert more oversight and control over offerings conducted overseas and/or over foreign investments in China-based issuers.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w:t>
      </w:r>
    </w:p>
    <w:p>
      <w:pPr>
        <w:spacing w:after="0" w:line="15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color w:val="auto"/>
        </w:rPr>
        <w:t>On February 17, 2023, the CSRC issued the Trial Administrative Measures of Overseas Securities Offering and Listing by Domestic Enterprises, or the Trial Measures, which became effective on March 31, 2023. See “—The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On December 28, 2021, the CAC, the NDRC, and several other administrations jointly adopted and published the new Measures for Cybersecurity Review (“New Measures”), which came into effect on February 15, 2022. See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Business License” on page 12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Governmental Regulations in the PRC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Mergers &amp; Acquisitions and Overseas Listings” on page 16 of this prospectus and “</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unwinding and disposal of our previous VIE structure may not be liability-free and we may be seemed to be in violation of PRC laws regulating our industry and operations.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cannot assure you that the unwinding and disposal of the VIE structures in the PRC will not give rise to dispute or liability.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CSRC,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continuously entice TikTok users to participate in our live streaming channels and increase their spending on our platforms, including e-commerce and gaming, it could have significant consequences on our business and operational results.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viability of our business largely depends on TikTok users engaging with our live streaming channels, which includes our live streaming e-commerce and gaming platforms. Our revenue is generated through product purchases, e-gift or token transactions with our live hosts, and purchase of the in-game items. To increase user spending, we must diversify our e-commerce product catalog, expand the range of live streaming games, increase the frequency of live streaming sessions, and collaborate with key opinion leaders (KOLs) to increase product sales. If we fail to attract new TikTok users or increase their average spending, it could have a significant negative impact on our business, financial stability, and operational performance.</w:t>
      </w:r>
    </w:p>
    <w:p>
      <w:pPr>
        <w:spacing w:after="0" w:line="15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The success of our business relies on the brand recognition of our subsidiary, AI Catalysis. Failing to maintain and improve this recognition could have consequences for our business prospects.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Our success heavily relies on the market recognition of our brands and reputation. As our subsidiary, AI Catalysis, was incorporated in 2023, it lacks significant market familiarity. Therefore, our ability to enhance and maintain brand recognition depends on various factors, some of which are beyond our control. Allocating excessive resources to marketing and promotional efforts could have a significant and negative impact on our business and operational results. Additionally, any negative publicity about our company, products, services, or content offerings could decrease customer and user interest, which could adversely affect our business and operational performance.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effectively implement our growth strategies, it could have a negative impact on our profitability and significantly harm our business and operational results.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Our current strategy for business growth involves expanding our product and game offerings, as well as increasing the number of live streamers and their unique styles. This will allow us to increase the frequency of live broadcasts, making it easier for TikTok users to discover our live streams at any time, whether during peak or off-peak hours, and encourage them to make purchases or play games within our live streams.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However, adding new games and recruiting new live streamers requires careful due diligence and numerous steps. This can be challenging, whether recruiting locally in the United States or internationally, as we must ensure they meet our high live streaming standards and can work with our schedules. Similarly, introducing new products on the e-commerce side requires research, quality control, international logistics, listing, video creation, and promotional efforts, all of which take time. Both aspects of our business are subject to external factors that can extend our timelines. Prolonged timelines can impede our business growth and potentially reduce our sales.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8" w:name="page49"/>
    <w:bookmarkEnd w:id="48"/>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Competition in our business segments poses a significant threat, and if we are unable to compete effectively, we risk losing our market share or failing to gain additional market share, which could adversely affect our profitability.</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Currently, the competition among users engaged in live-streaming e-commerce and live-streaming games on TikTok is not particularly intense. This is because the TikTok e-commerce and live-streaming gaming sectors have been operational for less than a year, making them relatively new markets. In comparison to many Asian countries, competition on TikTok is not as fierce at this stage.</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However, it is undeniable that more users and capital will increasingly enter these two sectors in the future. We are not only contending with competition from similar ventures on the TikTok platform but also facing competition from e-commerce and gaming platforms outside of TikTok, striving to capture market share.</w:t>
      </w:r>
    </w:p>
    <w:p>
      <w:pPr>
        <w:spacing w:after="0" w:line="13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Furthermore, many TikTok users have not yet developed the habit of online shopping or mobile gaming on the TikTok platform. This factor adds complexity to our initial efforts in establishing brand recognition.</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have engaged in collaborations with business partners, and we may pursue further collaborations and strategic partnerships in the future. However, there is no guarantee that we will realize the benefits of these collaborations or that they will be successful.</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are actively pursuing strategic partnerships and collaborations with business entities that we believe will improve our competitiveness and promote business growth. However, the expected revenue and cost synergies from both current and future collaborations and partnerships may not materialize as anticipated. Additionally, our involvement in the emerging industry sector, characterized by developing technologies and nascent collaborative networks, introduces greater uncertainties. If our business collaborations prove unsuccessful, it could have a negative impact on our business prospects and operational results.</w:t>
      </w:r>
    </w:p>
    <w:p>
      <w:pPr>
        <w:spacing w:after="0" w:line="147"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may encounter infringement claims by third parties for information on or linked to our platforms, which could disrupt our normal business operations, manage our reputation and cause us to incur substantial legal costs.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When engaging in brand and product promotion on TikTok, we often collaborate with other KOLs on the platform who feature our products or brand in their videos. However, during this process, we cannot guarantee that they will not inadvertently misrepresent our products. Furthermore, if these KOLs engage in any form of misconduct or infringement, it may indirectly impact our brand reputation, and the extent of this damage is difficult to quantify. Any significant loss has the potential to harm our reputation, result in financial losses, or ultimately affect our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reputation and operations may be adversely impacted by employee misconduct.</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There is a risk of employee misconduct, which includes failure to comply with government regulations, engaging in unauthorized activities, misrepresenting our products in marketing activities, and improper use of product/game information. Employee misconduct could damage our reputation, which could significantly impact our business. We may not be able to prevent employee misconduct, and the measures we take to prevent and deter it may not be effective.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have insurance coverage</w:t>
      </w:r>
      <w:r>
        <w:rPr>
          <w:rFonts w:ascii="Times New Roman" w:cs="Times New Roman" w:eastAsia="Times New Roman" w:hAnsi="Times New Roman"/>
          <w:sz w:val="15"/>
          <w:szCs w:val="15"/>
          <w:i w:val="1"/>
          <w:iCs w:val="1"/>
          <w:color w:val="auto"/>
        </w:rPr>
        <w:t>.</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do not have insurance coverage. We have evaluated the risks associated with potential business disruptions, liabilities, loss or damage to our fixed assets (such as equipment and office furniture), the associated insurance costs, and the challenges of obtaining such coverage on commercially reasonable terms. Based on this assessment, it is not commercially practical for us to secure comprehensive insurance coverage for these risks. These circumstances could adversely impact our financial results.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gain any significant market acceptance for our products and services or be unable to establish a significant market presence.</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Our growth strategy for is substantially dependent upon our ability to market our intended products and services successfully to prospective clients. Our intended products and services may not achieve significant market acceptance. If acceptance is achieved, it may not be sustained for any significant period of time. Failure of our intended products and services to achieve or sustain market acceptance could have a material adverse effect on our business, financial conditions and the results of our operations.</w:t>
      </w:r>
    </w:p>
    <w:p>
      <w:pPr>
        <w:spacing w:after="0" w:line="14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The e-commerce market witnessed substantial growth over the past two years due to the COVID-19 pandemic. However, with the pandemic’s eventual resolution and the return to normalcy, the rate of market expansion is expected to decelerate. It could have a negative impact on our profitability and significantly harm our business and operational results.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e-commerce market has experienced remarkable growth and transformation over the last two years, driven primarily by the unprecedented impact of the COVID-19 pandemic. The pandemic reshaped consumer behavior, accelerating the adoption of online shopping, digital payments, and contactless transactions. This surge in e-commerce activity was nothing short of remarkable, with businesses and consumers alike rapidly adapting to this new digital landscape.</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During the height of the pandemic, e-commerce became an essential lifeline for many, offering convenience and safety when traditional brick-and-mortar retail faced restrictions and concerns. This growth wasn’t limited to any particular sector; it spanned across industries, from retail giants to small businesses, and it showcased the resilience and adaptability of the e-commerce ecosystem. However, as the world gradually progresses toward a post-pandemic era, the e-commerce landscape is poised for a shift. The exponential growth rates witnessed during the height of the pandemic are likely to decelerate. It could then have a negative impact on our profitability and significantly harm our business and operational results.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is risk of e-commerce fraud, and if that occurs, it could have a negative impact on our profitability and significantly harm our business and operational results.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Online retailers may become subject to risk of e-commerce fraud. To mitigate this ongoing threat, prioritizing fraud prevention measures is crucial. These measures may include routine security audits, the implementation of an Address Verification Service (AVS), and the use of Hypertext Transfer Protocol Secure (HTTPS). E-commerce fraud is evolving, with fraudsters employing more sophisticated methods. The growth in the e-commerce fraud detection and prevention market reflects the increasing urgency in addressing this risk. The e-commerce fraud is a multifaceted risk that demands constant attention. We may need to prevent and to mitigate this persistent threat, protecting our financial interests and the trust of their customers, and if the fraud occurs, it could have a negative impact on our profitability and significantly harm our business and operational results.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0" w:name="page51"/>
    <w:bookmarkEnd w:id="50"/>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Given our significant reliance on the TikTok platform for various business functions, including inventory management, client services, and live streaming channels for our e-commerce, any downtime experienced by TikTok could significantly impact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ever-evolving digital landscape, where businesses heavily depend on various online platforms, the risk of platform downtime looms as a substantial concern.</w:t>
      </w:r>
    </w:p>
    <w:p>
      <w:pPr>
        <w:spacing w:after="0" w:line="19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Our company have cultivated a significant reliance on the TikTok platform, which serves as the backbone for a multitude of our critical business functions. These functions encompass inventory management, client services, and the live streaming channels that underpin our e-commerce activities. Consequently, any downtime experienced by TikTok, whether due to planned maintenance or unforeseen technical issues, can significantly impact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AI technologies are constantly evolving. Any flaws or inappropriate usage of AI Technologies could have negative impact on our business and reputation.</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AI technologies are constantly evolving. Any flaws or inappropriate usage of AI technologies, whether actual or perceived, whether intended or inadvertent, whether committed by us or by other third parties, could have negative impact on our business, reputation and the general acceptance of AI solutions by society.</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industries in which we operate are characterized by constant changes, including rapid technological evolution, frequent introductions of new solutions, continual shifts in users demands and constant emergence of new industry standards and practices. Thus, our success will depend, in part, on our ability to respond to these changes in a cost-effective and timely manner. We need to constantly anticipate the emergence of new technologies and assess their market acceptance.</w:t>
      </w:r>
    </w:p>
    <w:p>
      <w:pPr>
        <w:spacing w:after="0" w:line="14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Our financial and operating performance may be adversely affected by general economic conditions, natural catastrophic events, epidemics, and public health crises that impact the virtual content production industry.</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Our operating results will be subject to fluctuations based on general economic conditions, in particular those conditions that impact the metaverse industry. Deterioration in economic conditions could cause decreases in both volume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Our business is subject to the impact of natural catastrophic events such as earthquakes, floods or power outages, political crises such as terrorism or war, and public health crises, such as disease outbreaks, epidemics, or pandemics in the U.S. and global economies, our markets and business locations.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Similarly, natural disasters, wars (including the potential of war), terrorist activity (including threats of terrorist activity), social unrest and heightened travel security measures instituted in response, and travel-related accidents, as well as geopolitical uncertainty and international conflict, will affect travel volume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which in turn may harm our reputation.</w:t>
      </w:r>
    </w:p>
    <w:p>
      <w:pPr>
        <w:spacing w:after="0" w:line="1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As a “smaller reporting company” under applicable law, we will be subject to lessened disclosure requirements. Such reduced disclosure may make our common stock less attractive to investors.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For as long as we remain an “smaller reporting company” as defined in Rule 405 of the Securities Act and Item 10 of the Regulation S-K, we will elect to take advantage of certain exemptions from various reporting requirements that are applicable to other public companies that are not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the ability to include only two years of audited financial statements and only two years of related management’s discussion and analysis of financial condition and results of operations disclosure. Because of these lessened regulatory requirements, our stockholders would be left without information or rights available to stockholders of more mature companies.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1" w:name="page52"/>
    <w:bookmarkEnd w:id="51"/>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operations rely on information technology systems for the use, storage and transmission of sensitive and confidential information with respect to our customers, our employees and other third parties. A malicious cybersecurity-related attack, intrusion or disruption by either an internal or external source or other breach of the systems on which our platform and products operate, and on which our employees conduct business, could lead to unauthorized access to, use of, loss of or unauthorized disclosure of sensitive and confidential information, disruption of our services, viruses, worms, spyware, or other malware being served from our platform, networks, or systems; and resulting regulatory enforcement actions, litigation, indemnity obligations and other possible liabilities, as well as negative publicity, which could damage our reputation, impair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phishing, employee theft or misuse and denial-of-service attacks, sophisticated nation-state and nation-state supported actors now engage in attacks (including advanced persistent threat intrusions). Cyberattacks may also gain publishing access to our customers’ accounts on our platform, using that access to publish content without authorization.</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As of September 30, 2025,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We plan to develop and implement information securities policies and incident response plans to evaluate, identify, and handle material risks associated with cybersecurity threats.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However, it is not feasible, as a practical matter, for us to entirely mitigate these risks. If our security measures are compromised as a result of third-party action, employee, customer, or user error, malfeasance, stolen or fraudulently obtained log-in credentials or otherwise, our reputation would be damaged, our data, information or intellectual property, or those of our customers and our customers’ consumers, may be destroyed, stolen or otherwise compromised, our business may be harmed and we could incur significant liability.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Securities</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price of our common stock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common stock. Volatility in our common stock price may subject us to securities litigation.</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market for our common stock may have, when compared to seasoned issuers, significant price volatility and we expect that the price of our shares of common stock may continue to be more volatile than that of a seasoned issuer for the indefinite future. As a relatively small-capitalization company with a relatively small public float, we may experience greater share price volatility, extreme price run-ups, lower trading volume, and less liquidity than large-capitalization companies. In particular, our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common stock.</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common stock or other securities and our ability to obtain additional financing in the future. No assurance can be given that an active market in our common stock will develop or be sustained. If an active market does not develop, holders of our common stock may be unable to readily sell the shares they hold or may not be able to sell their shares at all.</w:t>
      </w:r>
    </w:p>
    <w:p>
      <w:pPr>
        <w:spacing w:after="0" w:line="15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addition,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to the Company and could divert our management’s attention and resources.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2" w:name="page53"/>
    <w:bookmarkEnd w:id="52"/>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are currently authorized to issue 200,000,000 shares of common stock. As of December 31, 2025, we had 57,318,111 shares of common stock issued and outstanding.</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We will require additional capital in the future. We have incurred losses in each year since our inception. If we continue to use cash at our historical rates of use we will need significant additional financing, which we may seek through a combination of private and public equity offerings, debt financings and collaborations and strategic and licensing arrangements. To the extent that we raise additional capital through the sale of equity or convertible debt securities, the ownership interest will be diluted, and the terms of any such offerings may include liquidation or other preferences that may adversely affect the then existing shareholders rights. Debt financing, if available, would result in increased fixed payment obligations and may involve agreements that include covenants limiting or restricting our ability to take specific actions such as incurring debt or making capital expenditures. If we raise additional funds through collaboration, strategic alliance or licensing arrangements with third parties, we may have to relinquish valuable rights to our technologies, future revenue streams or product candidates, or grant licenses on terms that are not favorable to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Future sales of our common stock could reduce the market price of the common stock.</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Substantial sales of our common stock may cause the market price of our common stock to decline. Sales by us or our security holders of substantial amounts of our common stock, or the perception that these sales may occur in the future, could cause a reduction in the market price of our common stock.</w:t>
      </w:r>
    </w:p>
    <w:p>
      <w:pPr>
        <w:spacing w:after="0" w:line="1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issuance of any additional shares of our common stock or any securities that are exercisable for or convertible into our common stock, may have an adverse effect on the market price of the common stock and will have a dilutive effect on our existing shareholders and holders of common stock.</w:t>
      </w:r>
    </w:p>
    <w:p>
      <w:pPr>
        <w:spacing w:after="0" w:line="129"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We do not know whether a market for the common stock will be sustained or what the trading price of the common stock will be and as a result it may be difficult for you to sell your shares.</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Although our common stock trade on Nasdaq, an active trading market for the common stock may not be sustained. It may be difficult for you to sell your shares without depressing the market price for the common stock. As a result of these and other factors, you may not be able to sell your shares. Further, an inactive market may also impair our ability to raise capital by selling common stock, or may impair our ability to enter into strategic partnerships or acquire companies or products by using our shares as consideration.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have no plans to pay dividends on our shares, and you may not receive funds without selling the shares.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 Accordingly, you may have to sell some or all of the shares in order to generate cash from your investment. You may not receive a gain on your investment when you sell the shares and may lose the entire amount of your investment.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possible “short squeeze” due to a sudden increase in demand of our common stock that largely exceeds supply may lead to additional price volatility.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Historically there has not been a large short position in our common stock. However, in the future investors may purchase shares of our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shares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3" w:name="page54"/>
    <w:bookmarkEnd w:id="53"/>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In the event that our common stock is delisted from Nasdaq, U.S. broker-dealers may be discouraged from effecting transactions in our common stock because they may be considered penny stocks and thus be subject to the penny stock rules.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 could be considered to be a “penny stock” within the meaning of the rules. The additional sales practice and disclosure requirements imposed upon U.S. broker-dealers may discourage such broker-dealers from effecting transactions in our common stock, which could severely limit the market liquidity of such common stock and impede their sale in the secondary market.</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5"/>
          <w:szCs w:val="15"/>
          <w:b w:val="1"/>
          <w:bCs w:val="1"/>
          <w:color w:val="auto"/>
        </w:rPr>
        <w:t>CAPITALIZATION AND INDEBTNESS</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Our capitalization will be set forth in the applicable prospectus supplement or in a report on Form 8-K subsequently furnished to the SEC and specifically incorporated by reference into this prospectus.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If required, we will set forth in a prospectus supplement the following information regarding any material dilution of the equity interests of investors purchasing securities in an offering under this prospectus:</w:t>
      </w:r>
    </w:p>
    <w:p>
      <w:pPr>
        <w:spacing w:after="0" w:line="133" w:lineRule="exact"/>
        <w:rPr>
          <w:sz w:val="20"/>
          <w:szCs w:val="20"/>
          <w:color w:val="auto"/>
        </w:rPr>
      </w:pPr>
    </w:p>
    <w:p>
      <w:pPr>
        <w:ind w:left="540" w:hanging="274"/>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net tangible book value per share of our equity securities before and after the offering;</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increase in such net tangible book value per share attributable to the cash payments made by purchasers in the offering;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of the immediate dilution from the public offering price which will be absorbed by such purchasers.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We intend to use the net proceeds from the sale of securities we offer as indicated in the applicable prospectus supplement, information incorporated by reference, or free writing prospectus.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CAPITAL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following description of our capital stock together with the additional information we include in any applicable prospectus supplement, summarizes the material terms and provisions of the capital stock that we may offer under this prospectus but is not complete. For the complete terms of our capital stock, please refer to our articles of incorporation and our bylaws, as amended from time to time. While the terms we have summarized below will apply generally to any future capital stock that we may offer, we will describe the specific terms of any series of these securities in more detail in the applicable prospectus supplement. If we so indicate in a prospectus supplement, the terms of any capital stock we offer under that prospectus supplement may differ from the terms we describe below.</w:t>
      </w:r>
    </w:p>
    <w:p>
      <w:pPr>
        <w:spacing w:after="0" w:line="1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As provided in the articles and bylaws, our authorized capital stock consists of 200,000,000 shares of common stock, par value $0.0001 per share, and 20,000,000 shares of preferred stock, par value $0.0001 per share.</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authorized and unissued shares of capital stock are available for issuance without further action by our shareholders, unless such action is required by applicable law or the rules of any stock exchange on which our securities may be listed. Unless approval of our shareholders is so required, our board of directors will not seek shareholder approval for the issuance and sale of our capital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Voting Rights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holders of common stock are entitled to one vote for each share held of record on all matters submitted to a vote of the stockholders. Under our articles and bylaws,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any corporate action to be taken by vote of stockholders other than for election of directors or such actions requiring a different number of votes by statute or our articles or bylaws, shall be authorized by the vote of the majority of the shares having voting power of those present in person or represented by proxy at a meeting of stockholder, or by written consent signed by shareholders holding a majority of the voting power, or by a different proportion of voting power if required for such corporate action. Directors are elected by a plurality of votes. Stockholders do not have cumulative voting rights.</w:t>
      </w:r>
    </w:p>
    <w:p>
      <w:pPr>
        <w:spacing w:after="0" w:line="1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Dividend Rights</w:t>
      </w:r>
      <w:r>
        <w:rPr>
          <w:rFonts w:ascii="Times New Roman" w:cs="Times New Roman" w:eastAsia="Times New Roman" w:hAnsi="Times New Roman"/>
          <w:sz w:val="15"/>
          <w:szCs w:val="15"/>
          <w:color w:val="auto"/>
        </w:rPr>
        <w:t>. Subject to preferences that may be applicable to any then-outstanding preferred stock, holders of common stock are entitled to receive ratably those dividends, if 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may be declared from time to time by the board of directors out of legally available funds.</w:t>
      </w:r>
    </w:p>
    <w:p>
      <w:pPr>
        <w:spacing w:after="0" w:line="1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Liquidation Rights</w:t>
      </w:r>
      <w:r>
        <w:rPr>
          <w:rFonts w:ascii="Times New Roman" w:cs="Times New Roman" w:eastAsia="Times New Roman" w:hAnsi="Times New Roman"/>
          <w:sz w:val="15"/>
          <w:szCs w:val="15"/>
          <w:color w:val="auto"/>
        </w:rPr>
        <w:t>. In the event of our liquidation, dissolution or winding up, holders of common stock will be entitled to share ratably in the net assets legally available for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distribution to stockholders after the payment of all of our debts and other liabilities and the satisfaction of any liquidation preference granted to the holders of any then-outstanding shares of preferred stock.</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5"/>
          <w:szCs w:val="15"/>
          <w:b w:val="1"/>
          <w:bCs w:val="1"/>
          <w:i w:val="1"/>
          <w:iCs w:val="1"/>
          <w:color w:val="auto"/>
        </w:rPr>
        <w:t>Other Rights</w:t>
      </w:r>
      <w:r>
        <w:rPr>
          <w:rFonts w:ascii="Times New Roman" w:cs="Times New Roman" w:eastAsia="Times New Roman" w:hAnsi="Times New Roman"/>
          <w:sz w:val="15"/>
          <w:szCs w:val="15"/>
          <w:color w:val="auto"/>
        </w:rPr>
        <w:t>. Holders of common stock have no preemptive, conversion or subscription rights and there are no redemption or sinking fund provisions applicable to the common stock.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rights, preferences and privileges of the holders of common stock are subject to, and may be adversely affected by, the rights of the holders of shares of any series of preferred stock.</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Our articles and bylaws authorize our board to issue up to 20,000,000 shares of preferred stock in one or more series, to determine the designations and the powers, preferences and rights and the qualifications, limitations and restrictions thereof, including the dividend rights, conversion or exchange rights, voting rights (including the number of votes per share), redemption rights and terms, liquidation preferences, sinking fund provisions and the number of shares constituting the series. Our board of directors could, without stockholder approval, issue preferred stock with voting and other rights that could adversely affect the voting power and other rights of the holders of common stock and which could have the effect of making it more difficult for a third party to acquire, or of discouraging a third party from attempting to acquire, a majority of our outstanding voting stock.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Provisions of the Nevada Revised Statutes, our articles and bylaws could have the effect of delaying or preventing a third-party from acquiring us, even if the acquisition would benefit our stockholders. Such provisions of the Nevada Revised Statutes, our articles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our company. These provisions are designed to reduce our vulnerability to an unsolicited proposal for a takeover that does not contemplate the acquisition of all of our outstanding shares, or an unsolicited proposal for the restructuring or sale of all or part of our company.</w:t>
      </w:r>
    </w:p>
    <w:p>
      <w:pPr>
        <w:spacing w:after="0" w:line="1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articles and bylaws may be adopted, amended or repealed by the affirmative vote of the holders of at least a majority of our outstanding shares of capital stock entitled to vote for the election of directors, and except as provided by Nevada law, our board of directors shall have the power to adopt, amend or repeal the articles and bylaws by a vote of not less than a majority of our directors. Any bylaw provision adopted by the board of directors may be amended or repealed by the holders of a majority of the outstanding shares of capital stock entitled to vote for the election of directors. Our articles and bylaws also contain limitations as to who may call special meetings as well as require advance notice of stockholder matters to be brought at a meeting. Additionally, our articles and bylaws also provide that no director may be removed by less than a two-thirds vote of the issued and outstanding shares entitled to vote on the removal. Our articles and bylaws also permit the board of directors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Our articles and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us timely written notice, in proper form, of the stockholder’s intention to bring that business before the meeting. Although our articles and bylaws do not give the board of directors the power to approve or disapprove stockholder nominations of candidates or proposals regarding other business to be conducted at a special or annual meeting, our articles and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Authorized but Unissued Shares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authorized but unissued shares of common stock are available for our board of directors to issue without stockholder approval. We may use these additional shares for a variety of corporate purposes, including raising additional capital, corporate acquisitions and employee stock plans. The existence of our authorized but unissued shares of common stock could render it more difficult or discourage an attempt to obtain control of the company by means of a proxy context, tender offer, merger or other transaction since our board of directors can issue large amounts of capital stock as part of a defense to a take-over challenge. In addition, we have authorized in our articles and bylaws 20,000,000 shares of preferred stock, none of which are currently designated or outstanding. However, the board acting alone and without approval of our stockholders can designate and issue one or more series of preferred stock containing super-voting provisions, enhanced economic rights, rights to elect directors, or other dilutive features, that could be utilized as part of a defense to a take-over challenge.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i w:val="1"/>
          <w:iCs w:val="1"/>
          <w:color w:val="auto"/>
        </w:rPr>
        <w:t>Supermajority Voting Provisions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Nevada law provides generally that the affirmative vote of a majority of the shares entitled to vote on any matter is required to amend a corporation’s articles of incorporation or bylaws, unless a corporation’s articles of incorporation or bylaws, as the case may be, require a greater percentage. Although our articles and bylaws do not currently provide for such a supermajority vote on any matters other than as required by Nevada law, our board of directors can amend our bylaws and we can, with the approval of our stockholders, amend our articles and bylaws to provide for such a supermajority voting provision.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Cumulative Voting</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Furthermore, neither the holders of our common stock nor the holders of our preferred stock have cumulative voting rights in the election of our directors. The combination of the present ownership by a few stockholders of a significant portion of our issued and outstanding common stock and lack of cumulative voting makes it more difficult for other stockholders to replace our board of directors or for a third party to obtain control of our company by replacing its board of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listed and traded under the symbols “GDC” on the Nasdaq Capital Market tier of The Nasdaq Stock Market LLC.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Continental Stock Transfer &amp; Trust Company, 1 State Street, 30th Floor, New York, NY 10004, is the transfer agent for our common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 summarizes the material terms and provisions of the warrants that we may offer under this prospectus and any related warrant agreement and warrant certificate. While the terms summarized below will apply generally to any warrants that we may offer, we will describe the specific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may issue warrants for the purchase of common stock in one or more series. We may issue warrants independently or together with common stock, and the warrants may be attached to or separate from common stock. We may issue the warrants under warrant agreements to be entered into between us and a bank or trust company, as warrant agent, all as described in the prospectus supplement. If we issue the warrants under warrant agreements, the warrant agent will act solely as our agent in connection with the warrants and will not assume any obligation or relationship of agency or trust for or with any holders or beneficial owners of warrants.</w:t>
      </w:r>
    </w:p>
    <w:p>
      <w:pPr>
        <w:spacing w:after="0" w:line="1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w:t>
      </w:r>
    </w:p>
    <w:p>
      <w:pPr>
        <w:spacing w:after="0" w:line="133" w:lineRule="exact"/>
        <w:rPr>
          <w:sz w:val="20"/>
          <w:szCs w:val="20"/>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 and aggregate number of warrants offered;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on and after which the warrants and the related securities will be separately transferable;</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the number or amount of shares of common stock purchasable upon the exercise of one warrant and the price at which and currency in which these shares may be purchased upon such exercise;</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of exercise of the warrants, including any cashless exercise rights;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 agreement under which the warrants will be issued;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merger, consolidation, sale or other disposition of our business on the warrant agreement and the warrants;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anti-dilution provisions of the warrants, if any;</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the warrants;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warrant agreement and warrants may be modified;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9" w:name="page60"/>
    <w:bookmarkEnd w:id="59"/>
    <w:p>
      <w:pPr>
        <w:ind w:left="540" w:hanging="27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identities of the warrant agent and any calculation or other agent for the warrants;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income tax consequences of holding or exercising the warrants;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quotation system on which the warrants or any securities deliverable upon exercise of the warrants may be listed or quoted;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Before exercising their warrants, holders of warrants will not have any of the rights of holders of the securities purchasable upon such exercise, including:</w:t>
      </w:r>
    </w:p>
    <w:p>
      <w:pPr>
        <w:spacing w:after="0" w:line="194" w:lineRule="exact"/>
        <w:rPr>
          <w:sz w:val="20"/>
          <w:szCs w:val="20"/>
          <w:color w:val="auto"/>
        </w:rPr>
      </w:pPr>
    </w:p>
    <w:p>
      <w:pPr>
        <w:ind w:left="540" w:hanging="274"/>
        <w:spacing w:after="0" w:line="290" w:lineRule="auto"/>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the right to receive dividends, if any, or, payments upon our liquidation, dissolution or winding up or to exercise voting rights, if 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of Warrants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Each warrant will entitle the holder to purchase the securities that we specify in the applicable prospectus supplement at the exercise price that we describe in the applicable prospectus supplement. Holders of the warrants may exercise the warrants at any time up to the close of business on the expiration date that we set forth in the applicable prospectus supplement. After the close of business on the expiration date, unexercised warrants will become void.</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 or any other office indicated in the prospectus supplement.</w:t>
      </w:r>
    </w:p>
    <w:p>
      <w:pPr>
        <w:spacing w:after="0" w:line="14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Warrants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Warrant Agreement Will Not Be Qualified Under Trust Indenture Act</w:t>
      </w:r>
    </w:p>
    <w:p>
      <w:pPr>
        <w:spacing w:after="0" w:line="19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No warrant agreement will be qualified as an indenture, and no warrant agent will be required to qualify as a trustee, under the Trust Indenture Act. Therefore, holders of warrants issued under a warrant agreement will not have the protection of the Trust Indenture Act with respect to their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Unless we provide otherwise in the applicable prospectus supplement, each warrant agreement and any warrants issued under the warrant agreements will be governed by New York law.</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As used in this prospectus, debt securities mean the debentures, notes, bonds and other evidences of indebtedness, which may or may not be converted into our ordinary shares, that we may issue from time to time. The debt securities may be either secured or unsecured and will either be senior debt securities or subordinated debt securities. The debt securities may be issued under one or more separate indentures between us and a trustee to be specified in an accompanying prospectus supplement. Senior debt securities will be issued under a new senior indenture. Subordinated debt securities will be issued under a subordinated indenture. Together, the senior indentures and the subordinated indentures are sometimes referred to in this prospectus as the indentures. This prospectus, together with the applicable prospectus supplement, will describe the terms of a particular series of debt securities.</w:t>
      </w:r>
    </w:p>
    <w:p>
      <w:pPr>
        <w:spacing w:after="0" w:line="15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Unless otherwise specified in a prospectus supplement, the debt securities will be direct unsecured obligations of GD Culture Group Limited. The senior debt securities will rank equally with any of our other senior and unsubordinated debt. The subordinated debt securities will be subordinate and junior in right of payment to any senior indebtedness.</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Unless otherwise specified in a prospectus supplement, the indentures do not limit the aggregate principal amount of debt securities that we may issue and provide that we may issue debt securities from time to time at par or at a discount, and in the case of the new indentures, if any, in one or more series, with the same or various maturities.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Each prospectus supplement will describe the terms relating to the specific series of debt securities being offered. These terms will include some or all of the following:</w:t>
      </w:r>
    </w:p>
    <w:p>
      <w:pPr>
        <w:spacing w:after="0" w:line="194" w:lineRule="exact"/>
        <w:rPr>
          <w:sz w:val="20"/>
          <w:szCs w:val="20"/>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debt securities and whether they are subordinated debt securities or senior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on the aggregate principal amount of the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issue additional debt securities of the same series;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at which we will sell the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 or dates of the debt securities on which principal will be payable;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of interest, if any, which may be fixed or variable, at which the debt securities will bear interest, or the method of determining such rate or rates, if any;</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from which any interest will accrue or the method by which such date or dates will be determined;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conversion price at which the debt securities may be converted;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convert the debt securities will commence and the date on which the right will expire;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minimum or maximum amount of debt securities that may be converted at any one time;</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if any, to extend the interest payment periods and the duration of any such deferral period, including the maximum consecutive period during which interest payment periods may be extended;</w:t>
      </w:r>
    </w:p>
    <w:p>
      <w:pPr>
        <w:spacing w:after="0" w:line="132"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we will pay interest on the debt securities and the regular record date for determining who is entitled to the interest payable on any interest payment date;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1" w:name="page62"/>
    <w:bookmarkEnd w:id="61"/>
    <w:p>
      <w:pPr>
        <w:ind w:left="280" w:right="2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p>
      <w:pPr>
        <w:spacing w:after="0" w:line="132" w:lineRule="exact"/>
        <w:rPr>
          <w:rFonts w:ascii="Times New Roman" w:cs="Times New Roman" w:eastAsia="Times New Roman" w:hAnsi="Times New Roman"/>
          <w:sz w:val="15"/>
          <w:szCs w:val="15"/>
          <w:color w:val="auto"/>
        </w:rPr>
      </w:pPr>
    </w:p>
    <w:p>
      <w:pPr>
        <w:ind w:left="28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32" w:lineRule="exact"/>
        <w:rPr>
          <w:rFonts w:ascii="Times New Roman" w:cs="Times New Roman" w:eastAsia="Times New Roman" w:hAnsi="Times New Roman"/>
          <w:sz w:val="15"/>
          <w:szCs w:val="15"/>
          <w:color w:val="auto"/>
        </w:rPr>
      </w:pPr>
    </w:p>
    <w:p>
      <w:pPr>
        <w:jc w:val="both"/>
        <w:ind w:left="280" w:hanging="274"/>
        <w:spacing w:after="0" w:line="272"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46"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the debt securities will be issued, if other than denominations of $1,000 and integral multiples of $1,000;</w:t>
      </w:r>
    </w:p>
    <w:p>
      <w:pPr>
        <w:spacing w:after="0" w:line="193" w:lineRule="exact"/>
        <w:rPr>
          <w:rFonts w:ascii="Times New Roman" w:cs="Times New Roman" w:eastAsia="Times New Roman" w:hAnsi="Times New Roman"/>
          <w:sz w:val="15"/>
          <w:szCs w:val="15"/>
          <w:color w:val="auto"/>
        </w:rPr>
      </w:pPr>
    </w:p>
    <w:p>
      <w:pPr>
        <w:ind w:left="28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p>
      <w:pPr>
        <w:spacing w:after="0" w:line="132"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currencies or currency unit in which we will pay the principal of (and premium, if any) or interest, if any, on the debt securities, if not United States dollars;</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if any, granting special rights to holders of the debt securities upon the occurrence of specified events;</w:t>
      </w:r>
    </w:p>
    <w:p>
      <w:pPr>
        <w:spacing w:after="0" w:line="193" w:lineRule="exact"/>
        <w:rPr>
          <w:rFonts w:ascii="Times New Roman" w:cs="Times New Roman" w:eastAsia="Times New Roman" w:hAnsi="Times New Roman"/>
          <w:sz w:val="15"/>
          <w:szCs w:val="15"/>
          <w:color w:val="auto"/>
        </w:rPr>
      </w:pPr>
    </w:p>
    <w:p>
      <w:pPr>
        <w:ind w:left="28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32"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limitation on our ability to incur debt, redeem shares, sell our assets or other restrictions;</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application, if any, of the terms of the indenture relating to defeasance and covenant defeasance (which terms are described below) to the debt securities;</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subordination provisions summarized below or different subordination provisions will apply to the debt securities;</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upon which the holders may convert or exchange the debt securities into or for our ordinary shares or other securities or property;</w:t>
      </w:r>
    </w:p>
    <w:p>
      <w:pPr>
        <w:spacing w:after="0" w:line="193" w:lineRule="exact"/>
        <w:rPr>
          <w:rFonts w:ascii="Times New Roman" w:cs="Times New Roman" w:eastAsia="Times New Roman" w:hAnsi="Times New Roman"/>
          <w:sz w:val="15"/>
          <w:szCs w:val="15"/>
          <w:color w:val="auto"/>
        </w:rPr>
      </w:pPr>
    </w:p>
    <w:p>
      <w:pPr>
        <w:ind w:left="28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the debt securities will be issued in global form and, if so, the terms and conditions upon which global debt securities may be exchanged for certificated debt securities;</w:t>
      </w:r>
    </w:p>
    <w:p>
      <w:pPr>
        <w:spacing w:after="0" w:line="132"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change in the right of the trustee or the requisite holders of debt securities to declare the principal amount thereof due and payable because of an event of default;</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depository for global or certificated debt securities;</w:t>
      </w:r>
    </w:p>
    <w:p>
      <w:pPr>
        <w:spacing w:after="0" w:line="193" w:lineRule="exact"/>
        <w:rPr>
          <w:rFonts w:ascii="Times New Roman" w:cs="Times New Roman" w:eastAsia="Times New Roman" w:hAnsi="Times New Roman"/>
          <w:sz w:val="15"/>
          <w:szCs w:val="15"/>
          <w:color w:val="auto"/>
        </w:rPr>
      </w:pPr>
    </w:p>
    <w:p>
      <w:pPr>
        <w:ind w:left="280" w:hanging="274"/>
        <w:spacing w:after="0"/>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special tax implications of the debt securities;</w:t>
      </w:r>
    </w:p>
    <w:p>
      <w:pPr>
        <w:spacing w:after="0" w:line="193" w:lineRule="exact"/>
        <w:rPr>
          <w:rFonts w:ascii="Times New Roman" w:cs="Times New Roman" w:eastAsia="Times New Roman" w:hAnsi="Times New Roman"/>
          <w:sz w:val="15"/>
          <w:szCs w:val="15"/>
          <w:color w:val="auto"/>
        </w:rPr>
      </w:pPr>
    </w:p>
    <w:p>
      <w:pPr>
        <w:ind w:left="280" w:hanging="274"/>
        <w:spacing w:after="0" w:line="290" w:lineRule="auto"/>
        <w:tabs>
          <w:tab w:leader="none" w:pos="2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foreign tax consequences applicable to the debt securities, including any debt securities denominated and made payable, as described in the prospectus supplements, in foreign currencies, or units based on or related to foreign currencies;</w:t>
      </w:r>
    </w:p>
    <w:p>
      <w:pPr>
        <w:spacing w:after="0" w:line="3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15875</wp:posOffset>
            </wp:positionV>
            <wp:extent cx="715327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00"/>
          </w:cols>
          <w:pgMar w:left="580" w:top="789" w:right="319" w:bottom="1440" w:gutter="0" w:footer="0" w:header="0"/>
        </w:sectPr>
      </w:pPr>
    </w:p>
    <w:bookmarkStart w:id="62" w:name="page63"/>
    <w:bookmarkEnd w:id="62"/>
    <w:p>
      <w:pPr>
        <w:ind w:left="540" w:hanging="274"/>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trustees, authenticating or paying agents, transfer agents or registrars, or other agents with respect to the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debt securities not inconsistent with the provisions of the indentures, as amended or supplemented;</w:t>
      </w:r>
    </w:p>
    <w:p>
      <w:pPr>
        <w:spacing w:after="0" w:line="193"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132"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46"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the principal amount of any securities of the series which shall be payable upon declaration of acceleration of the maturity of the debt securities pursuant to the applicable indenture if other than the entire principal amount; and</w:t>
      </w:r>
    </w:p>
    <w:p>
      <w:pPr>
        <w:spacing w:after="0" w:line="132" w:lineRule="exact"/>
        <w:rPr>
          <w:rFonts w:ascii="Times New Roman" w:cs="Times New Roman" w:eastAsia="Times New Roman" w:hAnsi="Times New Roman"/>
          <w:sz w:val="15"/>
          <w:szCs w:val="15"/>
          <w:color w:val="auto"/>
        </w:rPr>
      </w:pPr>
    </w:p>
    <w:p>
      <w:pPr>
        <w:jc w:val="both"/>
        <w:ind w:left="540" w:right="20" w:hanging="274"/>
        <w:spacing w:after="0" w:line="266" w:lineRule="auto"/>
        <w:tabs>
          <w:tab w:leader="none" w:pos="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Unless otherwise specified in the applicable prospectus supplement, the debt securities will not be listed on any securities exchange and will be issued in fully-registered form without coupons.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of Debt Securities</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debt securities may entitle the holder to purchase, in exchange for the extinguishment of debt, an amount of securities at a conversion price that will be stated in the debt securities. If such debt securities are convertible, unless otherwise specified in a prospectus supplement, the debt securities will be convertible at any time up to the close of business on the expiration date set forth in the terms of such debt securities. After the close of business on the expiration date, the debt securities not converted will be paid in accordance with their terms.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Subordination</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3" w:name="page64"/>
    <w:bookmarkEnd w:id="63"/>
    <w:p>
      <w:pPr>
        <w:spacing w:after="0" w:line="290" w:lineRule="auto"/>
        <w:rPr>
          <w:sz w:val="20"/>
          <w:szCs w:val="20"/>
          <w:color w:val="auto"/>
        </w:rPr>
      </w:pPr>
      <w:r>
        <w:rPr>
          <w:rFonts w:ascii="Times New Roman" w:cs="Times New Roman" w:eastAsia="Times New Roman" w:hAnsi="Times New Roman"/>
          <w:sz w:val="15"/>
          <w:szCs w:val="15"/>
          <w:color w:val="auto"/>
        </w:rPr>
        <w:t>Unless otherwise specified in the applicable prospectus supplement, under the subordinated indenture, “senior indebtedness” means all amounts due on obligations in connection with any of the following, whether outstanding at the date of execution of the subordinated indenture, or thereafter incurred or created:</w:t>
      </w:r>
    </w:p>
    <w:p>
      <w:pPr>
        <w:spacing w:after="0" w:line="133" w:lineRule="exact"/>
        <w:rPr>
          <w:sz w:val="20"/>
          <w:szCs w:val="20"/>
          <w:color w:val="auto"/>
        </w:rPr>
      </w:pPr>
    </w:p>
    <w:p>
      <w:pPr>
        <w:ind w:left="540" w:hanging="274"/>
        <w:spacing w:after="0" w:line="290"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of (and premium, if any) and interest due on our indebtedness for borrowed money and indebtedness evidenced by bonds, notes, debentures or similar instruments or letters of credit (or reimbursement agreements in respect thereof);</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capital lease obligations or attributable debt (as defined in the indentures) in respect of sale and leaseback transactions;</w:t>
      </w:r>
    </w:p>
    <w:p>
      <w:pPr>
        <w:spacing w:after="0" w:line="193"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obligations representing the balance deferred and unpaid of the purchase price of any property or services, which purchase price is due more than six months after the date of placing such property in service or taking delivery and title thereto, except any such balance that constitutes an accrued expense or trade payable or any similar obligation to trade creditors;</w:t>
      </w:r>
    </w:p>
    <w:p>
      <w:pPr>
        <w:spacing w:after="0" w:line="146"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obligations in respect of interest rate swap agreements (whether from fixed to floating or from floating to fixed), interest rate cap agreements and interest rate collar agreements; other agreements or arrangements designed to manage interest rates or interest rate risk; and other agreements or arrangements designed to protect against fluctuations in currency exchange rates or commodity prices;</w:t>
      </w:r>
    </w:p>
    <w:p>
      <w:pPr>
        <w:spacing w:after="0" w:line="14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obligations of the types referred to above of other persons for the payment of which we are responsible or liable as obligor, guarantor or otherwise;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obligations of the types referred to above of other persons secured by any lien on any property or asset of ours (whether or not such obligation is assumed by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However, senior indebtedness does not include:</w:t>
      </w:r>
    </w:p>
    <w:p>
      <w:pPr>
        <w:spacing w:after="0" w:line="194" w:lineRule="exact"/>
        <w:rPr>
          <w:sz w:val="20"/>
          <w:szCs w:val="20"/>
          <w:color w:val="auto"/>
        </w:rPr>
      </w:pPr>
    </w:p>
    <w:p>
      <w:pPr>
        <w:jc w:val="both"/>
        <w:ind w:left="540" w:hanging="274"/>
        <w:spacing w:after="0" w:line="272" w:lineRule="auto"/>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p>
      <w:pPr>
        <w:spacing w:after="0" w:line="14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obligations to our subsidiaries or of a subsidiary guarantor to us or any other of our other subsidiaries;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liability for federal, state, local or other taxes owed or owing by us or any subsidiary guarantor,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accounts payable or other liability to trade creditors arising in the ordinary course of business (including guarantees thereof or instruments evidencing such liabilities);</w:t>
      </w:r>
    </w:p>
    <w:p>
      <w:pPr>
        <w:spacing w:after="0" w:line="193" w:lineRule="exact"/>
        <w:rPr>
          <w:rFonts w:ascii="Times New Roman" w:cs="Times New Roman" w:eastAsia="Times New Roman" w:hAnsi="Times New Roman"/>
          <w:sz w:val="15"/>
          <w:szCs w:val="15"/>
          <w:color w:val="auto"/>
        </w:rPr>
      </w:pPr>
    </w:p>
    <w:p>
      <w:pPr>
        <w:ind w:left="640" w:hanging="374"/>
        <w:spacing w:after="0"/>
        <w:tabs>
          <w:tab w:leader="none" w:pos="6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obligations with respect to any capital stock;</w:t>
      </w:r>
    </w:p>
    <w:p>
      <w:pPr>
        <w:spacing w:after="0" w:line="193"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indebtedness incurred in violation of the indenture, provided that indebtedness under our credit facilities will not cease to be senior indebtedness under this bullet point if the lenders of such indebtedness obtained an officer’s certificate as of the date of incurrence of such indebtedness to the effect that such indebtedness was permitted to be incurred by the indenture; and</w:t>
      </w:r>
    </w:p>
    <w:p>
      <w:pPr>
        <w:spacing w:after="0" w:line="146"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of our indebtedness in respect of the subordinated debt securities.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4" w:name="page65"/>
    <w:bookmarkEnd w:id="64"/>
    <w:p>
      <w:pPr>
        <w:jc w:val="both"/>
        <w:spacing w:after="0" w:line="290" w:lineRule="auto"/>
        <w:rPr>
          <w:sz w:val="20"/>
          <w:szCs w:val="20"/>
          <w:color w:val="auto"/>
        </w:rPr>
      </w:pPr>
      <w:r>
        <w:rPr>
          <w:rFonts w:ascii="Times New Roman" w:cs="Times New Roman" w:eastAsia="Times New Roman" w:hAnsi="Times New Roman"/>
          <w:sz w:val="15"/>
          <w:szCs w:val="15"/>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Unless otherwise noted in an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spacing w:after="0" w:line="133" w:lineRule="exact"/>
        <w:rPr>
          <w:sz w:val="20"/>
          <w:szCs w:val="20"/>
          <w:color w:val="auto"/>
        </w:rPr>
      </w:pPr>
    </w:p>
    <w:p>
      <w:pPr>
        <w:ind w:left="540" w:hanging="274"/>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dissolution or winding-up or liquidation or reorganization of GD Culture Group Limited, whether voluntary or involuntary or in bankruptcy,</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insolvency or receivership;</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general assignment by us for the benefit of creditors; or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marshaling of our assets or liabilities.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subordinated indenture does not limit the issuance of additional senior 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Events of Default, Notice and Waiver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an accompanying prospectus supplement states otherwise, the following shall constitute “events of default” under the indentures with respect to each series of debt securities:</w:t>
      </w:r>
    </w:p>
    <w:p>
      <w:pPr>
        <w:spacing w:after="0" w:line="194" w:lineRule="exact"/>
        <w:rPr>
          <w:sz w:val="20"/>
          <w:szCs w:val="20"/>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default for 30 consecutive days in the payment when due of interest on the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default in the payment when due (at maturity, upon redemption or otherwise) of the principal of, or premium, if any, on the debt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observe or perform any other of our covenants or agreements with respect to such debt securities for 60 days after we receive notice of such failure;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or reorganization GD Culture Group Limited; or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securities of that series.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5" w:name="page66"/>
    <w:bookmarkEnd w:id="65"/>
    <w:p>
      <w:pPr>
        <w:jc w:val="both"/>
        <w:spacing w:after="0" w:line="259" w:lineRule="auto"/>
        <w:rPr>
          <w:sz w:val="20"/>
          <w:szCs w:val="20"/>
          <w:color w:val="auto"/>
        </w:rPr>
      </w:pPr>
      <w:r>
        <w:rPr>
          <w:rFonts w:ascii="Times New Roman" w:cs="Times New Roman" w:eastAsia="Times New Roman" w:hAnsi="Times New Roman"/>
          <w:sz w:val="15"/>
          <w:szCs w:val="15"/>
          <w:color w:val="auto"/>
        </w:rPr>
        <w:t>Unless an accompanying prospectus supplement states otherwise, if an event of default with respect to any debt securities of any series outstanding under either of the indentures shall occur and be continuing, the trustee under such indenture or the holders of at least 25% (or at least 10%, in respect of a remedy (other than acceleration) for certain events of default relating to the payment of dividends)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spacing w:after="0" w:line="15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color w:val="auto"/>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(1) default in the payment of the principal of (or premium, if any) or interest on any debt securities of such series or (2) certain events of default relating to the payment of dividends.</w:t>
      </w:r>
    </w:p>
    <w:p>
      <w:pPr>
        <w:spacing w:after="0" w:line="14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(1) the holder has given to the trustee written notice of an event of default and of the continuance thereof with respect to the debt securities of such series specifying an event of default, as required under the applicable indenture, (2)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(3) the trustee shall not have instituted such action within 60 days of such request and (4) no direction inconsistent with such written request has been given to the trustee during such 60-day period by the holders of a majority in principal amount of the debt securities of that series. We are required to furnish annually to the trustee statements as to our compliance with all conditions and covenants under each indenture.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6" w:name="page67"/>
    <w:bookmarkEnd w:id="66"/>
    <w:p>
      <w:pPr>
        <w:ind w:left="8"/>
        <w:spacing w:after="0"/>
        <w:rPr>
          <w:sz w:val="20"/>
          <w:szCs w:val="20"/>
          <w:color w:val="auto"/>
        </w:rPr>
      </w:pPr>
      <w:r>
        <w:rPr>
          <w:rFonts w:ascii="Times New Roman" w:cs="Times New Roman" w:eastAsia="Times New Roman" w:hAnsi="Times New Roman"/>
          <w:sz w:val="15"/>
          <w:szCs w:val="15"/>
          <w:b w:val="1"/>
          <w:bCs w:val="1"/>
          <w:color w:val="auto"/>
        </w:rPr>
        <w:t>Discharge, Defeasance and Covenant Defeasance</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We may discharge or defease our obligations under the indenture as set forth below, unless otherwise indicated in the applicable prospectus supplement.</w:t>
      </w:r>
    </w:p>
    <w:p>
      <w:pPr>
        <w:spacing w:after="0" w:line="194"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5"/>
          <w:szCs w:val="15"/>
          <w:color w:val="auto"/>
        </w:rPr>
        <w:t>We may discharge certain obligations to holders of any series of debt securities issued under either the senior indenture or the subordinated indenture which have not already been delivered to the trustee for cancellation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or, if applicable, any guarantor, have paid all other sums payable under the applicable indenture.</w:t>
      </w:r>
    </w:p>
    <w:p>
      <w:pPr>
        <w:spacing w:after="0" w:line="151"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5"/>
          <w:szCs w:val="15"/>
          <w:color w:val="auto"/>
        </w:rPr>
        <w:t>If indicated in the applicable prospectus supplement, we may elect either (1) to defease and be discharged from any and all obligations with respect to the debt securities of or within any series (except in all cases as otherwise provided in the relevant indenture) (“legal defeasance”) or (2)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w:t>
      </w:r>
    </w:p>
    <w:p>
      <w:pPr>
        <w:spacing w:after="0" w:line="2" w:lineRule="exact"/>
        <w:rPr>
          <w:sz w:val="20"/>
          <w:szCs w:val="20"/>
          <w:color w:val="auto"/>
        </w:rPr>
      </w:pPr>
    </w:p>
    <w:p>
      <w:pPr>
        <w:jc w:val="both"/>
        <w:ind w:left="8" w:hanging="8"/>
        <w:spacing w:after="0" w:line="258" w:lineRule="auto"/>
        <w:tabs>
          <w:tab w:leader="none" w:pos="191"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(1) if applicable, an officer’s certificate to the effect that the relevant debt securities exchange(s) have informed us that neither such debt securities nor any other debt securities of the same series, if then listed on any securities exchange, will be delisted as a result of such deposit and (2) an officer’s certificate and an opinion of counsel, each stating that all conditions precedent with respect to such legal defeasance or covenant defeasance have been complied with.</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We may exercise our defeasance option with respect to such debt securities notwithstanding our prior exercise of our covenant defeasance option.</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198"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5"/>
          <w:szCs w:val="15"/>
          <w:color w:val="auto"/>
        </w:rPr>
        <w:t>Under the indentures, unless an accompanying prospectus supplement states otherwise,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spacing w:after="0" w:line="154" w:lineRule="exact"/>
        <w:rPr>
          <w:sz w:val="20"/>
          <w:szCs w:val="20"/>
          <w:color w:val="auto"/>
        </w:rPr>
      </w:pPr>
    </w:p>
    <w:p>
      <w:pPr>
        <w:ind w:left="548" w:hanging="274"/>
        <w:spacing w:after="0"/>
        <w:tabs>
          <w:tab w:leader="none" w:pos="5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of debt securities whose holders must consent to an amendment, supplement or waiver;</w:t>
      </w:r>
    </w:p>
    <w:p>
      <w:pPr>
        <w:spacing w:after="0" w:line="193" w:lineRule="exact"/>
        <w:rPr>
          <w:rFonts w:ascii="Times New Roman" w:cs="Times New Roman" w:eastAsia="Times New Roman" w:hAnsi="Times New Roman"/>
          <w:sz w:val="15"/>
          <w:szCs w:val="15"/>
          <w:color w:val="auto"/>
        </w:rPr>
      </w:pPr>
    </w:p>
    <w:p>
      <w:pPr>
        <w:ind w:left="548" w:hanging="274"/>
        <w:spacing w:after="0" w:line="290" w:lineRule="auto"/>
        <w:tabs>
          <w:tab w:leader="none" w:pos="5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of or change the fixed maturity of any debt security or, except as provided in any prospectus supplement, alter or waive any of the provisions with respect to the redemption of the debt securities;</w:t>
      </w:r>
    </w:p>
    <w:p>
      <w:pPr>
        <w:spacing w:after="0" w:line="132"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rate of or change the time for payment of interest, including default interest, on any debt security;</w:t>
      </w:r>
    </w:p>
    <w:p>
      <w:pPr>
        <w:spacing w:after="0" w:line="193" w:lineRule="exact"/>
        <w:rPr>
          <w:rFonts w:ascii="Times New Roman" w:cs="Times New Roman" w:eastAsia="Times New Roman" w:hAnsi="Times New Roman"/>
          <w:sz w:val="15"/>
          <w:szCs w:val="15"/>
          <w:color w:val="auto"/>
        </w:rPr>
      </w:pPr>
    </w:p>
    <w:p>
      <w:pPr>
        <w:jc w:val="both"/>
        <w:ind w:left="548" w:hanging="274"/>
        <w:spacing w:after="0" w:line="283" w:lineRule="auto"/>
        <w:tabs>
          <w:tab w:leader="none" w:pos="5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or event of default in the payment of principal of or interest or premium, if any, on, the debt securities (except a rescission of acceleration of the debt securities by the holders of at least a majority in aggregate principal amount of the then outstanding debt securities and a waiver of the payment default that resulted from such acceleration);</w:t>
      </w:r>
    </w:p>
    <w:p>
      <w:pPr>
        <w:spacing w:after="0" w:line="325" w:lineRule="exact"/>
        <w:rPr>
          <w:rFonts w:ascii="Times New Roman" w:cs="Times New Roman" w:eastAsia="Times New Roman" w:hAnsi="Times New Roman"/>
          <w:sz w:val="15"/>
          <w:szCs w:val="15"/>
          <w:color w:val="auto"/>
        </w:rPr>
      </w:pPr>
    </w:p>
    <w:p>
      <w:pPr>
        <w:ind w:left="548" w:hanging="274"/>
        <w:spacing w:after="0"/>
        <w:tabs>
          <w:tab w:leader="none" w:pos="548"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debt security payable in money other than that stated in the debt securities;</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67" w:name="page68"/>
    <w:bookmarkEnd w:id="67"/>
    <w:p>
      <w:pPr>
        <w:ind w:left="540" w:hanging="274"/>
        <w:spacing w:after="0" w:line="29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the provisions of the applicable indenture relating to waivers of past defaults or the rights of holders of the debt securities to receive payments of principal of, or interest or premium, if any, on, the debt securities;</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with respect to any debt security (except as otherwise provided in the applicable prospectus supplement);</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in connection with an offer by us to purchase all debt securities, (1) waive certain events of default relating to the payment of dividends or (2) amend certain covenants relating to the payment of dividends and the purchase or redemption of certain equity interests;</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to the subordination or ranking provisions of the indenture or the related definitions that adversely affect the rights of any holder; or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the preceding amendment and waiver provisions.</w:t>
      </w:r>
    </w:p>
    <w:p>
      <w:pPr>
        <w:spacing w:after="0" w:line="1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b w:val="1"/>
          <w:bCs w:val="1"/>
          <w:color w:val="auto"/>
        </w:rPr>
        <w:t>Denominations, Registrations and Transfer</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Unless an accompanying prospectus supplement states otherwise, debt securities will be represented by one or more global certificates registered in the name of a nominee for The Depository Trust Company, or DTC. In such case, each holder’s beneficial interest in the global securities will be shown on the records of DTC and transfers of beneficial interests will only be effected through DTC’s records.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holder of debt securities may only exchange a beneficial interest in a global security for certificated securities registered in the holder’s name if:</w:t>
      </w:r>
    </w:p>
    <w:p>
      <w:pPr>
        <w:spacing w:after="0" w:line="194" w:lineRule="exact"/>
        <w:rPr>
          <w:sz w:val="20"/>
          <w:szCs w:val="20"/>
          <w:color w:val="auto"/>
        </w:rPr>
      </w:pPr>
    </w:p>
    <w:p>
      <w:pPr>
        <w:ind w:left="540" w:right="20" w:hanging="274"/>
        <w:spacing w:after="0" w:line="290"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deliver to the trustee notice from DTC that it is unwilling or unable to continue to act as depository or that it is no longer a clearing agency registered under the Exchange Act and, in either case, a successor depositary is not appointed by us within 120 days after the date of such notice from DTC;</w:t>
      </w:r>
    </w:p>
    <w:p>
      <w:pPr>
        <w:spacing w:after="0" w:line="132"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 our sole discretion determine that the debt securities (in whole but not in part) should be exchanged for definitive debt securities and deliver a written notice to such effect to the trustee; or</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has occurred and is continuing a default or event of default with respect to the debt securities.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indentures and debt securities will be governed by, and construed in accordance with, the laws of the State of New York, without regard to its principles of conflicts of laws, except to the extent the Trust Indenture Act is applicable or as otherwise agreed to by the parties thereto.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Trustee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trustee or trustees under the indentures will be named in any applicable prospectus supplement.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or Exchange Rights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prospectus supplement will describe the terms, if any, on which a series of debt securities may be convertible into or exchangeable for our ordinary shares or other debt securities. These terms will include provisions as to whether conversion or exchange is mandatory, at the option of the holder or at our option. These provisions may allow or require the number of shares of our ordinary shares or other securities to be received by the holders of such series of debt securities to be adjusted. Any such conversion or exchange will comply with applicable Cayman Islands law and our amended and restated memorandum and articles of association.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applicable prospectus supplement will describe:</w:t>
      </w:r>
    </w:p>
    <w:p>
      <w:pPr>
        <w:spacing w:after="0" w:line="194" w:lineRule="exact"/>
        <w:rPr>
          <w:sz w:val="20"/>
          <w:szCs w:val="20"/>
          <w:color w:val="auto"/>
        </w:rPr>
      </w:pPr>
    </w:p>
    <w:p>
      <w:pPr>
        <w:ind w:left="540" w:hanging="274"/>
        <w:spacing w:after="0" w:line="290" w:lineRule="auto"/>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spacing w:after="0" w:line="132"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unit agreement under which the units will be issued;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units will be issued in fully registered or global form.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RIGHTS</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such underwriters will purchase any offered securities remaining unsubscribed after such rights offering. In connection with a rights offering to our stockholders, we will distribute certificates evidencing the rights and a prospectus supplement to our stockholders on the record date that we set for receiving rights in such rights offering. The applicable prospectus supplement or free writing prospectus will describe the following terms of rights in respect of which this prospectus is being delivered:</w:t>
      </w:r>
    </w:p>
    <w:p>
      <w:pPr>
        <w:spacing w:after="0" w:line="341" w:lineRule="exact"/>
        <w:rPr>
          <w:sz w:val="20"/>
          <w:szCs w:val="20"/>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such rights;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for which such rights are exercisable;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for such rights;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of determining the security holders entitled to the rights distribution;</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such rights issued to each security holder;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rights are transferable;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a discussion of the material United States federal income tax considerations applicable to the issuance or exercise of such rights;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right to exercise such rights shall commence, and the date on which such rights shall expire (subject to any extension);</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conditions to completion of the rights offering;</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rights;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such rights include an over-subscription privilege with respect to unsubscribed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other purchase arrangement that we may enter into in connection with the rights offering;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rights, including terms, procedures and limitations relating to the exchange and exercise of such rights.</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8"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5"/>
          <w:szCs w:val="15"/>
          <w:color w:val="auto"/>
        </w:rPr>
        <w:t>We may sell the securities described in this prospectus through underwriters or dealers, through agents, directly to one or more purchasers, “at-the-market” offerings, negotiated transactions, block trades or through a combination of these methods. The applicable prospectus supplement will describe the terms of the offering of the securities, including:</w:t>
      </w:r>
    </w:p>
    <w:p>
      <w:pPr>
        <w:spacing w:after="0" w:line="133" w:lineRule="exact"/>
        <w:rPr>
          <w:sz w:val="20"/>
          <w:szCs w:val="20"/>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any underwriters, if any, and if required, any dealers or agents, and the amount of securities underwritten or purchased by each of them, if any;</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public offering price or purchase price of the securities from us and the net proceeds to us from the sale of the securities;</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underwriting discounts and other items constituting underwriters’ compensation;</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or concessions allowed or re-allowed or paid to dealers; and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market on which the securities may be listed.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distribute the securities from time to time in one or more transactions at:</w:t>
      </w:r>
    </w:p>
    <w:p>
      <w:pPr>
        <w:spacing w:after="0" w:line="194" w:lineRule="exact"/>
        <w:rPr>
          <w:sz w:val="20"/>
          <w:szCs w:val="20"/>
          <w:color w:val="auto"/>
        </w:rPr>
      </w:pPr>
    </w:p>
    <w:p>
      <w:pPr>
        <w:ind w:left="540" w:hanging="274"/>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fixed price or prices, which may be changed;</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prices prevailing at the time of sale;</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varying prices determined at the time of sale related to such prevailing market prices; or</w:t>
      </w:r>
    </w:p>
    <w:p>
      <w:pPr>
        <w:spacing w:after="0" w:line="193" w:lineRule="exact"/>
        <w:rPr>
          <w:rFonts w:ascii="Times New Roman" w:cs="Times New Roman" w:eastAsia="Times New Roman" w:hAnsi="Times New Roman"/>
          <w:sz w:val="15"/>
          <w:szCs w:val="15"/>
          <w:color w:val="auto"/>
        </w:rPr>
      </w:pPr>
    </w:p>
    <w:p>
      <w:pPr>
        <w:ind w:left="540" w:hanging="274"/>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negotiated prices.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Only underwriters named in the prospectus supplement will be underwriters of the securities offered by the prospectus supplement.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spacing w:after="0" w:line="15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Our common stock is listed on the Nasdaq Capital Market. Unless otherwise specified in the related prospectus supplement, all securities we offer, other than common stock,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spacing w:after="0" w:line="15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We may sell the securities directly or through agents we designate from time to time. We will name any agent involved in the offering and sale of securities and we will describe any commissions we may pay the agent in the applicable prospectus supplement.</w:t>
      </w:r>
    </w:p>
    <w:p>
      <w:pPr>
        <w:spacing w:after="0" w:line="13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The validity of the issuance of the securities offered hereby will be passed upon for us by McLaughlin &amp; Stern, LLP. If legal matters in connection with offerings made pursuant to this prospectus are passed upon by counsel to underwriters, dealers, or agents, such counsel will be named in the applicable prospectus supplement relating to any such offering.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The consolidated financial statements for the years ended December 31, 2024 and 2023, incorporated by reference in this prospectus have been so included in reliance on the report of HTL International, LLC, an independent registered public accounting firm, given on their authority as experts in accounting and auditing. The office of HTL International, LLC is located at 12 Greenway Plaza, Suite 1100, Houston, Texas, 77046.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INTERESTS OF EXPERTS AND COUNSEL</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DOCUMENTS BY REFERENCE</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SEC allows us to “incorporate by reference” into this prospectus the documents we file with, or furnish to, it, which means that we can disclose important information to you by referring you to these documents. The information that we incorporate by reference into this prospectus forms a part of this prospectus.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incorporate by reference into this prospectus the documents listed below:</w:t>
      </w:r>
    </w:p>
    <w:p>
      <w:pPr>
        <w:spacing w:after="0" w:line="194" w:lineRule="exact"/>
        <w:rPr>
          <w:sz w:val="20"/>
          <w:szCs w:val="20"/>
          <w:color w:val="auto"/>
        </w:rPr>
      </w:pPr>
    </w:p>
    <w:p>
      <w:pPr>
        <w:ind w:left="540" w:hanging="274"/>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104">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December 31, 2024, filed with the SEC on March 17, 2025;</w:t>
      </w:r>
    </w:p>
    <w:p>
      <w:pPr>
        <w:spacing w:after="0" w:line="193" w:lineRule="exact"/>
        <w:rPr>
          <w:rFonts w:ascii="Times New Roman" w:cs="Times New Roman" w:eastAsia="Times New Roman" w:hAnsi="Times New Roman"/>
          <w:sz w:val="15"/>
          <w:szCs w:val="15"/>
          <w:color w:val="auto"/>
        </w:rPr>
      </w:pPr>
    </w:p>
    <w:p>
      <w:pPr>
        <w:jc w:val="both"/>
        <w:ind w:left="540" w:hanging="274"/>
        <w:spacing w:after="0" w:line="272"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w:t>
      </w:r>
      <w:hyperlink r:id="rId105">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three months ended March 31, 2025, filed with the SEC on May 15, 2025, our Quarterly Report on </w:t>
      </w:r>
      <w:hyperlink r:id="rId106">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for the three months ended June 30, 2025, filed with the SEC on August 12, 2025, and our Quarterly Report on </w:t>
      </w:r>
      <w:hyperlink r:id="rId107">
        <w:r>
          <w:rPr>
            <w:rFonts w:ascii="Times New Roman" w:cs="Times New Roman" w:eastAsia="Times New Roman" w:hAnsi="Times New Roman"/>
            <w:sz w:val="15"/>
            <w:szCs w:val="15"/>
            <w:u w:val="single" w:color="auto"/>
            <w:color w:val="0000EE"/>
          </w:rPr>
          <w:t>Form 10-Q</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three months ended September 30, 2025, filed with the SEC on November 3, 2025;</w:t>
      </w:r>
    </w:p>
    <w:p>
      <w:pPr>
        <w:spacing w:after="0" w:line="146"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39"/>
        </w:numPr>
        <w:rPr>
          <w:rFonts w:ascii="Times New Roman" w:cs="Times New Roman" w:eastAsia="Times New Roman" w:hAnsi="Times New Roman"/>
          <w:sz w:val="15"/>
          <w:szCs w:val="15"/>
          <w:color w:val="0000EE"/>
        </w:rPr>
      </w:pPr>
      <w:r>
        <w:rPr>
          <w:rFonts w:ascii="Times New Roman" w:cs="Times New Roman" w:eastAsia="Times New Roman" w:hAnsi="Times New Roman"/>
          <w:sz w:val="15"/>
          <w:szCs w:val="15"/>
          <w:color w:val="auto"/>
        </w:rPr>
        <w:t xml:space="preserve">our report on Form 8-K, furnished to the SEC on </w:t>
      </w:r>
      <w:hyperlink r:id="rId108">
        <w:r>
          <w:rPr>
            <w:rFonts w:ascii="Times New Roman" w:cs="Times New Roman" w:eastAsia="Times New Roman" w:hAnsi="Times New Roman"/>
            <w:sz w:val="15"/>
            <w:szCs w:val="15"/>
            <w:u w:val="single" w:color="auto"/>
            <w:color w:val="0000EE"/>
          </w:rPr>
          <w:t>March 21, 2025</w:t>
        </w:r>
      </w:hyperlink>
      <w:r>
        <w:rPr>
          <w:rFonts w:ascii="Times New Roman" w:cs="Times New Roman" w:eastAsia="Times New Roman" w:hAnsi="Times New Roman"/>
          <w:sz w:val="15"/>
          <w:szCs w:val="15"/>
          <w:color w:val="auto"/>
        </w:rPr>
        <w:t xml:space="preserve">, </w:t>
      </w:r>
      <w:hyperlink r:id="rId109">
        <w:r>
          <w:rPr>
            <w:rFonts w:ascii="Times New Roman" w:cs="Times New Roman" w:eastAsia="Times New Roman" w:hAnsi="Times New Roman"/>
            <w:sz w:val="15"/>
            <w:szCs w:val="15"/>
            <w:u w:val="single" w:color="auto"/>
            <w:color w:val="0000EE"/>
          </w:rPr>
          <w:t>April 2, 2025</w:t>
        </w:r>
      </w:hyperlink>
      <w:r>
        <w:rPr>
          <w:rFonts w:ascii="Times New Roman" w:cs="Times New Roman" w:eastAsia="Times New Roman" w:hAnsi="Times New Roman"/>
          <w:sz w:val="15"/>
          <w:szCs w:val="15"/>
          <w:color w:val="auto"/>
        </w:rPr>
        <w:t xml:space="preserve">, </w:t>
      </w:r>
      <w:hyperlink r:id="rId110">
        <w:r>
          <w:rPr>
            <w:rFonts w:ascii="Times New Roman" w:cs="Times New Roman" w:eastAsia="Times New Roman" w:hAnsi="Times New Roman"/>
            <w:sz w:val="15"/>
            <w:szCs w:val="15"/>
            <w:u w:val="single" w:color="auto"/>
            <w:color w:val="0000EE"/>
          </w:rPr>
          <w:t>April 30, 2025</w:t>
        </w:r>
      </w:hyperlink>
      <w:r>
        <w:rPr>
          <w:rFonts w:ascii="Times New Roman" w:cs="Times New Roman" w:eastAsia="Times New Roman" w:hAnsi="Times New Roman"/>
          <w:sz w:val="15"/>
          <w:szCs w:val="15"/>
          <w:color w:val="auto"/>
        </w:rPr>
        <w:t xml:space="preserve">, </w:t>
      </w:r>
      <w:hyperlink r:id="rId111">
        <w:r>
          <w:rPr>
            <w:rFonts w:ascii="Times New Roman" w:cs="Times New Roman" w:eastAsia="Times New Roman" w:hAnsi="Times New Roman"/>
            <w:sz w:val="15"/>
            <w:szCs w:val="15"/>
            <w:u w:val="single" w:color="auto"/>
            <w:color w:val="0000EE"/>
          </w:rPr>
          <w:t>May 6, 2025</w:t>
        </w:r>
      </w:hyperlink>
      <w:r>
        <w:rPr>
          <w:rFonts w:ascii="Times New Roman" w:cs="Times New Roman" w:eastAsia="Times New Roman" w:hAnsi="Times New Roman"/>
          <w:sz w:val="15"/>
          <w:szCs w:val="15"/>
          <w:color w:val="auto"/>
        </w:rPr>
        <w:t xml:space="preserve">, </w:t>
      </w:r>
      <w:hyperlink r:id="rId112">
        <w:r>
          <w:rPr>
            <w:rFonts w:ascii="Times New Roman" w:cs="Times New Roman" w:eastAsia="Times New Roman" w:hAnsi="Times New Roman"/>
            <w:sz w:val="15"/>
            <w:szCs w:val="15"/>
            <w:u w:val="single" w:color="auto"/>
            <w:color w:val="0000EE"/>
          </w:rPr>
          <w:t>May 8, 2025</w:t>
        </w:r>
      </w:hyperlink>
      <w:r>
        <w:rPr>
          <w:rFonts w:ascii="Times New Roman" w:cs="Times New Roman" w:eastAsia="Times New Roman" w:hAnsi="Times New Roman"/>
          <w:sz w:val="15"/>
          <w:szCs w:val="15"/>
          <w:color w:val="auto"/>
        </w:rPr>
        <w:t xml:space="preserve">, </w:t>
      </w:r>
      <w:hyperlink r:id="rId113">
        <w:r>
          <w:rPr>
            <w:rFonts w:ascii="Times New Roman" w:cs="Times New Roman" w:eastAsia="Times New Roman" w:hAnsi="Times New Roman"/>
            <w:sz w:val="15"/>
            <w:szCs w:val="15"/>
            <w:u w:val="single" w:color="auto"/>
            <w:color w:val="0000EE"/>
          </w:rPr>
          <w:t>May 13, 2025</w:t>
        </w:r>
      </w:hyperlink>
      <w:r>
        <w:rPr>
          <w:rFonts w:ascii="Times New Roman" w:cs="Times New Roman" w:eastAsia="Times New Roman" w:hAnsi="Times New Roman"/>
          <w:sz w:val="15"/>
          <w:szCs w:val="15"/>
          <w:color w:val="auto"/>
        </w:rPr>
        <w:t xml:space="preserve">, </w:t>
      </w:r>
      <w:hyperlink r:id="rId114">
        <w:r>
          <w:rPr>
            <w:rFonts w:ascii="Times New Roman" w:cs="Times New Roman" w:eastAsia="Times New Roman" w:hAnsi="Times New Roman"/>
            <w:sz w:val="15"/>
            <w:szCs w:val="15"/>
            <w:u w:val="single" w:color="auto"/>
            <w:color w:val="0000EE"/>
          </w:rPr>
          <w:t>June 30, 2025</w:t>
        </w:r>
      </w:hyperlink>
      <w:r>
        <w:rPr>
          <w:rFonts w:ascii="Times New Roman" w:cs="Times New Roman" w:eastAsia="Times New Roman" w:hAnsi="Times New Roman"/>
          <w:sz w:val="15"/>
          <w:szCs w:val="15"/>
          <w:color w:val="auto"/>
        </w:rPr>
        <w:t xml:space="preserve">, </w:t>
      </w:r>
      <w:hyperlink r:id="rId115">
        <w:r>
          <w:rPr>
            <w:rFonts w:ascii="Times New Roman" w:cs="Times New Roman" w:eastAsia="Times New Roman" w:hAnsi="Times New Roman"/>
            <w:sz w:val="15"/>
            <w:szCs w:val="15"/>
            <w:u w:val="single" w:color="auto"/>
            <w:color w:val="0000EE"/>
          </w:rPr>
          <w:t>July 3, 2025</w:t>
        </w:r>
      </w:hyperlink>
      <w:r>
        <w:rPr>
          <w:rFonts w:ascii="Times New Roman" w:cs="Times New Roman" w:eastAsia="Times New Roman" w:hAnsi="Times New Roman"/>
          <w:sz w:val="15"/>
          <w:szCs w:val="15"/>
          <w:color w:val="auto"/>
        </w:rPr>
        <w:t xml:space="preserve">, </w:t>
      </w:r>
      <w:hyperlink r:id="rId116">
        <w:r>
          <w:rPr>
            <w:rFonts w:ascii="Times New Roman" w:cs="Times New Roman" w:eastAsia="Times New Roman" w:hAnsi="Times New Roman"/>
            <w:sz w:val="15"/>
            <w:szCs w:val="15"/>
            <w:u w:val="single" w:color="auto"/>
            <w:color w:val="0000EE"/>
          </w:rPr>
          <w:t>August 27,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7">
        <w:r>
          <w:rPr>
            <w:rFonts w:ascii="Times New Roman" w:cs="Times New Roman" w:eastAsia="Times New Roman" w:hAnsi="Times New Roman"/>
            <w:sz w:val="15"/>
            <w:szCs w:val="15"/>
            <w:u w:val="single" w:color="auto"/>
            <w:color w:val="0000EE"/>
          </w:rPr>
          <w:t>September 16,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8">
        <w:r>
          <w:rPr>
            <w:rFonts w:ascii="Times New Roman" w:cs="Times New Roman" w:eastAsia="Times New Roman" w:hAnsi="Times New Roman"/>
            <w:sz w:val="15"/>
            <w:szCs w:val="15"/>
            <w:u w:val="single" w:color="auto"/>
            <w:color w:val="0000EE"/>
          </w:rPr>
          <w:t>September 22,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19">
        <w:r>
          <w:rPr>
            <w:rFonts w:ascii="Times New Roman" w:cs="Times New Roman" w:eastAsia="Times New Roman" w:hAnsi="Times New Roman"/>
            <w:sz w:val="15"/>
            <w:szCs w:val="15"/>
            <w:u w:val="single" w:color="auto"/>
            <w:color w:val="0000EE"/>
          </w:rPr>
          <w:t>October 2,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20">
        <w:r>
          <w:rPr>
            <w:rFonts w:ascii="Times New Roman" w:cs="Times New Roman" w:eastAsia="Times New Roman" w:hAnsi="Times New Roman"/>
            <w:sz w:val="15"/>
            <w:szCs w:val="15"/>
            <w:u w:val="single" w:color="auto"/>
            <w:color w:val="0000EE"/>
          </w:rPr>
          <w:t>October 29,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hyperlink r:id="rId121">
        <w:r>
          <w:rPr>
            <w:rFonts w:ascii="Times New Roman" w:cs="Times New Roman" w:eastAsia="Times New Roman" w:hAnsi="Times New Roman"/>
            <w:sz w:val="15"/>
            <w:szCs w:val="15"/>
            <w:u w:val="single" w:color="auto"/>
            <w:color w:val="0000EE"/>
          </w:rPr>
          <w:t>December 23, 2025</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and</w:t>
      </w:r>
      <w:r>
        <w:rPr>
          <w:rFonts w:ascii="Times New Roman" w:cs="Times New Roman" w:eastAsia="Times New Roman" w:hAnsi="Times New Roman"/>
          <w:sz w:val="15"/>
          <w:szCs w:val="15"/>
          <w:color w:val="0000EE"/>
        </w:rPr>
        <w:t xml:space="preserve"> </w:t>
      </w:r>
      <w:hyperlink r:id="rId122">
        <w:r>
          <w:rPr>
            <w:rFonts w:ascii="Times New Roman" w:cs="Times New Roman" w:eastAsia="Times New Roman" w:hAnsi="Times New Roman"/>
            <w:sz w:val="15"/>
            <w:szCs w:val="15"/>
            <w:u w:val="single" w:color="auto"/>
            <w:color w:val="0000EE"/>
          </w:rPr>
          <w:t>January 7, 2026</w:t>
        </w:r>
      </w:hyperlink>
      <w:r>
        <w:rPr>
          <w:rFonts w:ascii="Times New Roman" w:cs="Times New Roman" w:eastAsia="Times New Roman" w:hAnsi="Times New Roman"/>
          <w:sz w:val="15"/>
          <w:szCs w:val="15"/>
          <w:color w:val="000000"/>
        </w:rPr>
        <w:t>;</w:t>
      </w:r>
    </w:p>
    <w:p>
      <w:pPr>
        <w:spacing w:after="0" w:line="132" w:lineRule="exact"/>
        <w:rPr>
          <w:rFonts w:ascii="Times New Roman" w:cs="Times New Roman" w:eastAsia="Times New Roman" w:hAnsi="Times New Roman"/>
          <w:sz w:val="15"/>
          <w:szCs w:val="15"/>
          <w:color w:val="0000EE"/>
        </w:rPr>
      </w:pPr>
    </w:p>
    <w:p>
      <w:pPr>
        <w:ind w:left="540" w:hanging="274"/>
        <w:spacing w:after="0"/>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Company’s Definitive Proxy Statement on </w:t>
      </w:r>
      <w:hyperlink r:id="rId123">
        <w:r>
          <w:rPr>
            <w:rFonts w:ascii="Times New Roman" w:cs="Times New Roman" w:eastAsia="Times New Roman" w:hAnsi="Times New Roman"/>
            <w:sz w:val="15"/>
            <w:szCs w:val="15"/>
            <w:u w:val="single" w:color="auto"/>
            <w:color w:val="0000EE"/>
          </w:rPr>
          <w:t>Schedule 14A</w:t>
        </w:r>
      </w:hyperlink>
      <w:r>
        <w:rPr>
          <w:rFonts w:ascii="Times New Roman" w:cs="Times New Roman" w:eastAsia="Times New Roman" w:hAnsi="Times New Roman"/>
          <w:sz w:val="15"/>
          <w:szCs w:val="15"/>
          <w:color w:val="auto"/>
        </w:rPr>
        <w:t>, filed with the SEC on December 19, 2025;</w:t>
      </w:r>
    </w:p>
    <w:p>
      <w:pPr>
        <w:spacing w:after="0" w:line="193"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our registration statement on </w:t>
      </w:r>
      <w:hyperlink r:id="rId124">
        <w:r>
          <w:rPr>
            <w:rFonts w:ascii="Times New Roman" w:cs="Times New Roman" w:eastAsia="Times New Roman" w:hAnsi="Times New Roman"/>
            <w:sz w:val="15"/>
            <w:szCs w:val="15"/>
            <w:u w:val="single" w:color="auto"/>
            <w:color w:val="0000EE"/>
          </w:rPr>
          <w:t>Form 8-A</w:t>
        </w:r>
      </w:hyperlink>
      <w:r>
        <w:rPr>
          <w:rFonts w:ascii="Times New Roman" w:cs="Times New Roman" w:eastAsia="Times New Roman" w:hAnsi="Times New Roman"/>
          <w:sz w:val="15"/>
          <w:szCs w:val="15"/>
          <w:color w:val="auto"/>
        </w:rPr>
        <w:t>, filed with the SEC on July 23, 2015, and any amendment or report filed for the purpose of updating such description;</w:t>
      </w:r>
    </w:p>
    <w:p>
      <w:pPr>
        <w:spacing w:after="0" w:line="132" w:lineRule="exact"/>
        <w:rPr>
          <w:rFonts w:ascii="Times New Roman" w:cs="Times New Roman" w:eastAsia="Times New Roman" w:hAnsi="Times New Roman"/>
          <w:sz w:val="15"/>
          <w:szCs w:val="15"/>
          <w:color w:val="auto"/>
        </w:rPr>
      </w:pPr>
    </w:p>
    <w:p>
      <w:pPr>
        <w:ind w:left="540" w:right="20" w:hanging="274"/>
        <w:spacing w:after="0" w:line="290"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future annual reports on Form 10-K filed with the SEC after the date of this prospectus and prior to the termination of the offering of the securities offered by this prospectus; and</w:t>
      </w:r>
    </w:p>
    <w:p>
      <w:pPr>
        <w:spacing w:after="0" w:line="132" w:lineRule="exact"/>
        <w:rPr>
          <w:rFonts w:ascii="Times New Roman" w:cs="Times New Roman" w:eastAsia="Times New Roman" w:hAnsi="Times New Roman"/>
          <w:sz w:val="15"/>
          <w:szCs w:val="15"/>
          <w:color w:val="auto"/>
        </w:rPr>
      </w:pPr>
    </w:p>
    <w:p>
      <w:pPr>
        <w:ind w:left="540" w:hanging="274"/>
        <w:spacing w:after="0" w:line="290"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future reports on Form 8-K that we furnish to the SEC after the date of this prospectus that are identified in such reports as being incorporated by reference into the registration statement of which this prospectus forms a part.</w:t>
      </w:r>
    </w:p>
    <w:p>
      <w:pPr>
        <w:spacing w:after="0" w:line="133" w:lineRule="exact"/>
        <w:rPr>
          <w:rFonts w:ascii="Times New Roman" w:cs="Times New Roman" w:eastAsia="Times New Roman" w:hAnsi="Times New Roman"/>
          <w:sz w:val="15"/>
          <w:szCs w:val="15"/>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spacing w:after="0" w:line="151" w:lineRule="exact"/>
        <w:rPr>
          <w:rFonts w:ascii="Times New Roman" w:cs="Times New Roman" w:eastAsia="Times New Roman" w:hAnsi="Times New Roman"/>
          <w:sz w:val="15"/>
          <w:szCs w:val="15"/>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We will provide to any person, including any beneficial owner, to whom this prospectus is delivered, a copy of any or all of the information that has been incorporated by reference in this prospectus but not delivered with this prospectus, at no cost to the requesting party, upon request to us in writing or by telephone using the following information:</w:t>
      </w:r>
    </w:p>
    <w:p>
      <w:pPr>
        <w:spacing w:after="0" w:line="133"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GD Culture Group Limited</w:t>
      </w:r>
    </w:p>
    <w:p>
      <w:pPr>
        <w:spacing w:after="0" w:line="25"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111 Town Square Place, Suite #1203</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Jersey City, NJ 07310</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+1-347-2590292</w:t>
      </w:r>
    </w:p>
    <w:p>
      <w:pPr>
        <w:spacing w:after="0" w:line="179" w:lineRule="exact"/>
        <w:rPr>
          <w:rFonts w:ascii="Times New Roman" w:cs="Times New Roman" w:eastAsia="Times New Roman" w:hAnsi="Times New Roman"/>
          <w:sz w:val="15"/>
          <w:szCs w:val="15"/>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29"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ADDITIONAL INFORMATION</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are subject to periodic reporting and other informational requirements of the Exchange Act as applicable to foreign private issuers. Accordingly, we are required to file reports, including annual reports on Form 10-K, quarterly reports on Form 10-Q,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75" w:name="page76"/>
    <w:bookmarkEnd w:id="75"/>
    <w:p>
      <w:pPr>
        <w:jc w:val="center"/>
        <w:ind w:left="1948"/>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4" w:lineRule="exact"/>
        <w:rPr>
          <w:sz w:val="20"/>
          <w:szCs w:val="20"/>
          <w:color w:val="auto"/>
        </w:rPr>
      </w:pPr>
    </w:p>
    <w:p>
      <w:pPr>
        <w:ind w:left="3828"/>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estimated expenses payable by the Registrant in connection with the issuance and distribution of the securities being registered are as follows: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53275" cy="116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3275" cy="1162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153275" cy="116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53275" cy="116205"/>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15"/>
          <w:szCs w:val="15"/>
          <w:color w:val="auto"/>
        </w:rPr>
        <w:t>Accounting Fees and Expenses*</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Printing and miscellaneous Expenses*</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53275" cy="160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3275" cy="160020"/>
                    </a:xfrm>
                    <a:prstGeom prst="rect">
                      <a:avLst/>
                    </a:prstGeom>
                    <a:noFill/>
                  </pic:spPr>
                </pic:pic>
              </a:graphicData>
            </a:graphic>
          </wp:anchor>
        </w:drawing>
      </w:r>
    </w:p>
    <w:p>
      <w:pPr>
        <w:spacing w:after="0" w:line="265" w:lineRule="exact"/>
        <w:rPr>
          <w:sz w:val="20"/>
          <w:szCs w:val="20"/>
          <w:color w:val="auto"/>
        </w:rPr>
      </w:pPr>
    </w:p>
    <w:p>
      <w:pPr>
        <w:ind w:left="268" w:hanging="268"/>
        <w:spacing w:after="0"/>
        <w:tabs>
          <w:tab w:leader="none" w:pos="268"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expenses are presently not known and cannot be estimated.</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20" w:hanging="720"/>
        <w:spacing w:after="0"/>
        <w:tabs>
          <w:tab w:leader="none" w:pos="720"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69,050</w:t>
      </w:r>
    </w:p>
    <w:p>
      <w:pPr>
        <w:spacing w:after="0" w:line="25" w:lineRule="exact"/>
        <w:rPr>
          <w:rFonts w:ascii="Times New Roman" w:cs="Times New Roman" w:eastAsia="Times New Roman" w:hAnsi="Times New Roman"/>
          <w:sz w:val="15"/>
          <w:szCs w:val="15"/>
          <w:color w:val="auto"/>
        </w:rPr>
      </w:pPr>
    </w:p>
    <w:p>
      <w:pPr>
        <w:ind w:left="1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0" w:lineRule="exact"/>
        <w:rPr>
          <w:rFonts w:ascii="Times New Roman" w:cs="Times New Roman" w:eastAsia="Times New Roman" w:hAnsi="Times New Roman"/>
          <w:sz w:val="15"/>
          <w:szCs w:val="15"/>
          <w:color w:val="auto"/>
        </w:rPr>
      </w:pPr>
    </w:p>
    <w:p>
      <w:pPr>
        <w:ind w:left="1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0" w:lineRule="exact"/>
        <w:rPr>
          <w:rFonts w:ascii="Times New Roman" w:cs="Times New Roman" w:eastAsia="Times New Roman" w:hAnsi="Times New Roman"/>
          <w:sz w:val="15"/>
          <w:szCs w:val="15"/>
          <w:color w:val="auto"/>
        </w:rPr>
      </w:pPr>
    </w:p>
    <w:p>
      <w:pPr>
        <w:ind w:left="10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53" w:lineRule="exact"/>
        <w:rPr>
          <w:sz w:val="20"/>
          <w:szCs w:val="20"/>
          <w:color w:val="auto"/>
        </w:rPr>
      </w:pPr>
    </w:p>
    <w:p>
      <w:pPr>
        <w:ind w:left="1060" w:hanging="1060"/>
        <w:spacing w:after="0"/>
        <w:tabs>
          <w:tab w:leader="none" w:pos="10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945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9455" cy="14605"/>
                    </a:xfrm>
                    <a:prstGeom prst="rect">
                      <a:avLst/>
                    </a:prstGeom>
                    <a:noFill/>
                  </pic:spPr>
                </pic:pic>
              </a:graphicData>
            </a:graphic>
          </wp:anchor>
        </w:drawing>
      </w:r>
    </w:p>
    <w:p>
      <w:pPr>
        <w:spacing w:after="0" w:line="983" w:lineRule="exact"/>
        <w:rPr>
          <w:sz w:val="20"/>
          <w:szCs w:val="20"/>
          <w:color w:val="auto"/>
        </w:rPr>
      </w:pPr>
    </w:p>
    <w:p>
      <w:pPr>
        <w:sectPr>
          <w:pgSz w:w="11900" w:h="16838" w:orient="portrait"/>
          <w:cols w:equalWidth="0" w:num="2">
            <w:col w:w="9308" w:space="720"/>
            <w:col w:w="1240"/>
          </w:cols>
          <w:pgMar w:left="312" w:top="785" w:right="319" w:bottom="1440" w:gutter="0" w:footer="0" w:header="0"/>
        </w:sectPr>
      </w:pPr>
    </w:p>
    <w:p>
      <w:pPr>
        <w:jc w:val="both"/>
        <w:ind w:left="8"/>
        <w:spacing w:after="0" w:line="261" w:lineRule="auto"/>
        <w:rPr>
          <w:sz w:val="20"/>
          <w:szCs w:val="20"/>
          <w:color w:val="auto"/>
        </w:rPr>
      </w:pPr>
      <w:r>
        <w:rPr>
          <w:rFonts w:ascii="Times New Roman" w:cs="Times New Roman" w:eastAsia="Times New Roman" w:hAnsi="Times New Roman"/>
          <w:sz w:val="15"/>
          <w:szCs w:val="15"/>
          <w:color w:val="auto"/>
        </w:rPr>
        <w:t>The Nevada Revised Statutes permits our board of directors to indemnify any person against expenses (including attorneys’ fees), judgments, fines, and amounts paid in settlement actually and reasonably incurred by him or her in connection with any threatened, pending, or completed action, suit, or proceeding in which such person is made a party by reason of his or her being or having been a director, officer, employee, or agent of us, or serving or having served, at our request, as a director, officer, employee, or agent of another corporation, partnership, joint venture, trust, or other enterprise, in terms sufficiently broad to permit such indemnification under certain circumstances for liabilities (including reimbursement for expenses incurred) arising under the Securities Act. The statute provides that indemnification pursuant to its provisions is not exclusive of other rights of indemnification to which a person may be entitled under any bylaw, agreement, vote of stockholders or disinterested directors, or otherwise.</w:t>
      </w:r>
    </w:p>
    <w:p>
      <w:pPr>
        <w:spacing w:after="0" w:line="157"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5"/>
          <w:szCs w:val="15"/>
          <w:color w:val="auto"/>
        </w:rPr>
        <w:t>We have adopted provisions in our Articles of Incorporation, as amended from time to time that limit or eliminate the personal liability of our directors and officers to the fullest extent permitted by Nevada law, as it now exists or may in the future be amended, and against all expenses and liabilities reasonably incurred in connection with their service for or on behalf of the company.</w:t>
      </w:r>
    </w:p>
    <w:p>
      <w:pPr>
        <w:spacing w:after="0" w:line="146" w:lineRule="exact"/>
        <w:rPr>
          <w:sz w:val="20"/>
          <w:szCs w:val="20"/>
          <w:color w:val="auto"/>
        </w:rPr>
      </w:pPr>
    </w:p>
    <w:p>
      <w:pPr>
        <w:jc w:val="both"/>
        <w:ind w:left="8"/>
        <w:spacing w:after="0" w:line="290" w:lineRule="auto"/>
        <w:rPr>
          <w:sz w:val="20"/>
          <w:szCs w:val="20"/>
          <w:color w:val="auto"/>
        </w:rPr>
      </w:pPr>
      <w:r>
        <w:rPr>
          <w:rFonts w:ascii="Times New Roman" w:cs="Times New Roman" w:eastAsia="Times New Roman" w:hAnsi="Times New Roman"/>
          <w:sz w:val="15"/>
          <w:szCs w:val="15"/>
          <w:color w:val="auto"/>
        </w:rPr>
        <w:t>At present, we are not aware of any pending or threatened litigation or proceeding involving any of our directors, officer, employees or agents in which indemnification would be required or permitted. We believe provisions in our articles of incorporation are necessary to attract and retain qualified persons as directors and officers.</w:t>
      </w:r>
    </w:p>
    <w:p>
      <w:pPr>
        <w:spacing w:after="0" w:line="133" w:lineRule="exact"/>
        <w:rPr>
          <w:sz w:val="20"/>
          <w:szCs w:val="20"/>
          <w:color w:val="auto"/>
        </w:rPr>
      </w:pPr>
    </w:p>
    <w:p>
      <w:pPr>
        <w:jc w:val="both"/>
        <w:ind w:left="8"/>
        <w:spacing w:after="0" w:line="290" w:lineRule="auto"/>
        <w:rPr>
          <w:sz w:val="20"/>
          <w:szCs w:val="20"/>
          <w:color w:val="auto"/>
        </w:rPr>
      </w:pPr>
      <w:r>
        <w:rPr>
          <w:rFonts w:ascii="Times New Roman" w:cs="Times New Roman" w:eastAsia="Times New Roman" w:hAnsi="Times New Roman"/>
          <w:sz w:val="15"/>
          <w:szCs w:val="15"/>
          <w:color w:val="auto"/>
        </w:rPr>
        <w:t>In any underwriting agreement we enter into in connection with the sale of common stock and warrants being registered hereby, the underwriters will agree to indemnify, under certain conditions, us, our directors, our officers and persons who control us within the meaning of the Securities Act, against certain liabilities.</w:t>
      </w:r>
    </w:p>
    <w:p>
      <w:pPr>
        <w:spacing w:after="0" w:line="133"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directors, officers and controlling persons of the registrant pursuant to the foregoing provisions, the Company has been informed that in the opinion of the U.S. Securities and Exchange Commission such indemnification is against public policy as expressed in the Securities Act and is therefore unenforceable.</w:t>
      </w:r>
    </w:p>
    <w:p>
      <w:pPr>
        <w:spacing w:after="0" w:line="3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type w:val="continuous"/>
        </w:sectPr>
      </w:pPr>
    </w:p>
    <w:bookmarkStart w:id="76" w:name="page77"/>
    <w:bookmarkEnd w:id="76"/>
    <w:p>
      <w:pPr>
        <w:ind w:left="8"/>
        <w:spacing w:after="0"/>
        <w:rPr>
          <w:sz w:val="20"/>
          <w:szCs w:val="20"/>
          <w:color w:val="auto"/>
        </w:rPr>
      </w:pPr>
      <w:r>
        <w:rPr>
          <w:rFonts w:ascii="Times New Roman" w:cs="Times New Roman" w:eastAsia="Times New Roman" w:hAnsi="Times New Roman"/>
          <w:sz w:val="15"/>
          <w:szCs w:val="15"/>
          <w:b w:val="1"/>
          <w:bCs w:val="1"/>
          <w:color w:val="auto"/>
        </w:rPr>
        <w:t>ITEM 16. EXHIBITS</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The following exhibits are attached hereto:</w:t>
      </w:r>
    </w:p>
    <w:p>
      <w:pPr>
        <w:spacing w:after="0" w:line="190"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40" w:type="dxa"/>
            <w:vAlign w:val="bottom"/>
          </w:tcPr>
          <w:p>
            <w:pPr>
              <w:spacing w:after="0"/>
              <w:rPr>
                <w:sz w:val="15"/>
                <w:szCs w:val="15"/>
                <w:color w:val="auto"/>
              </w:rPr>
            </w:pPr>
          </w:p>
        </w:tc>
      </w:tr>
      <w:tr>
        <w:trPr>
          <w:trHeight w:val="205"/>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80" w:type="dxa"/>
            <w:vAlign w:val="bottom"/>
            <w:gridSpan w:val="2"/>
          </w:tcPr>
          <w:p>
            <w:pPr>
              <w:ind w:left="1060"/>
              <w:spacing w:after="0"/>
              <w:rPr>
                <w:sz w:val="20"/>
                <w:szCs w:val="20"/>
                <w:color w:val="auto"/>
              </w:rPr>
            </w:pPr>
            <w:r>
              <w:rPr>
                <w:rFonts w:ascii="Times New Roman" w:cs="Times New Roman" w:eastAsia="Times New Roman" w:hAnsi="Times New Roman"/>
                <w:sz w:val="15"/>
                <w:szCs w:val="15"/>
                <w:b w:val="1"/>
                <w:bCs w:val="1"/>
                <w:color w:val="auto"/>
              </w:rPr>
              <w:t>Title</w:t>
            </w:r>
          </w:p>
        </w:tc>
      </w:tr>
      <w:tr>
        <w:trPr>
          <w:trHeight w:val="183"/>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10140" w:type="dxa"/>
            <w:vAlign w:val="bottom"/>
            <w:tcBorders>
              <w:top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156"/>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3"/>
                <w:szCs w:val="13"/>
                <w:color w:val="auto"/>
              </w:rPr>
            </w:pPr>
          </w:p>
        </w:tc>
        <w:tc>
          <w:tcPr>
            <w:tcW w:w="1900" w:type="dxa"/>
            <w:vAlign w:val="bottom"/>
            <w:tcBorders>
              <w:bottom w:val="single" w:sz="8" w:color="0000EE"/>
            </w:tcBorders>
          </w:tcPr>
          <w:p>
            <w:pPr>
              <w:spacing w:after="0" w:line="149" w:lineRule="exact"/>
              <w:rPr>
                <w:sz w:val="20"/>
                <w:szCs w:val="20"/>
                <w:color w:val="auto"/>
              </w:rPr>
            </w:pPr>
            <w:r>
              <w:rPr>
                <w:rFonts w:ascii="Times New Roman" w:cs="Times New Roman" w:eastAsia="Times New Roman" w:hAnsi="Times New Roman"/>
                <w:sz w:val="15"/>
                <w:szCs w:val="15"/>
                <w:color w:val="0000EE"/>
              </w:rPr>
              <w:t>Form of Senior Debt Indenture</w:t>
            </w:r>
          </w:p>
        </w:tc>
        <w:tc>
          <w:tcPr>
            <w:tcW w:w="8240" w:type="dxa"/>
            <w:vAlign w:val="bottom"/>
            <w:gridSpan w:val="6"/>
          </w:tcPr>
          <w:p>
            <w:pPr>
              <w:spacing w:after="0"/>
              <w:rPr>
                <w:sz w:val="13"/>
                <w:szCs w:val="13"/>
                <w:color w:val="auto"/>
              </w:rPr>
            </w:pPr>
          </w:p>
        </w:tc>
      </w:tr>
      <w:tr>
        <w:trPr>
          <w:trHeight w:val="170"/>
        </w:trPr>
        <w:tc>
          <w:tcPr>
            <w:tcW w:w="10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Borders>
              <w:bottom w:val="single" w:sz="8" w:color="CCEEFF"/>
            </w:tcBorders>
            <w:shd w:val="clear" w:color="auto" w:fill="CCEEFF"/>
          </w:tcPr>
          <w:p>
            <w:pPr>
              <w:spacing w:after="0"/>
              <w:rPr>
                <w:sz w:val="14"/>
                <w:szCs w:val="14"/>
                <w:color w:val="auto"/>
              </w:rPr>
            </w:pPr>
          </w:p>
        </w:tc>
        <w:tc>
          <w:tcPr>
            <w:tcW w:w="2320" w:type="dxa"/>
            <w:vAlign w:val="bottom"/>
            <w:tcBorders>
              <w:bottom w:val="single" w:sz="8" w:color="0000EE"/>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Form of Subordinated Debt Indenture</w:t>
            </w:r>
          </w:p>
        </w:tc>
        <w:tc>
          <w:tcPr>
            <w:tcW w:w="7820" w:type="dxa"/>
            <w:vAlign w:val="bottom"/>
            <w:tcBorders>
              <w:bottom w:val="single" w:sz="8" w:color="CCEEFF"/>
            </w:tcBorders>
            <w:gridSpan w:val="4"/>
            <w:shd w:val="clear" w:color="auto" w:fill="CCEEFF"/>
          </w:tcPr>
          <w:p>
            <w:pPr>
              <w:spacing w:after="0"/>
              <w:rPr>
                <w:sz w:val="14"/>
                <w:szCs w:val="14"/>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5"/>
                <w:szCs w:val="15"/>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Senior Note</w:t>
            </w: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5"/>
                <w:szCs w:val="15"/>
                <w:color w:val="auto"/>
              </w:rPr>
            </w:pPr>
          </w:p>
        </w:tc>
        <w:tc>
          <w:tcPr>
            <w:tcW w:w="10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Subordinated Note</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5"/>
                <w:szCs w:val="15"/>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Warrant Agreement and Warrant Certificate</w:t>
            </w: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5"/>
                <w:szCs w:val="15"/>
                <w:color w:val="auto"/>
              </w:rPr>
            </w:pPr>
          </w:p>
        </w:tc>
        <w:tc>
          <w:tcPr>
            <w:tcW w:w="10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Unit Agreement (including unit certificate)</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Pr>
          <w:p>
            <w:pPr>
              <w:spacing w:after="0"/>
              <w:rPr>
                <w:sz w:val="15"/>
                <w:szCs w:val="15"/>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Rights Agreement (including rights certificate)</w:t>
            </w:r>
          </w:p>
        </w:tc>
      </w:tr>
      <w:tr>
        <w:trPr>
          <w:trHeight w:val="163"/>
        </w:trPr>
        <w:tc>
          <w:tcPr>
            <w:tcW w:w="10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5.1</w:t>
            </w:r>
          </w:p>
        </w:tc>
        <w:tc>
          <w:tcPr>
            <w:tcW w:w="100" w:type="dxa"/>
            <w:vAlign w:val="bottom"/>
            <w:tcBorders>
              <w:bottom w:val="single" w:sz="8" w:color="CCEEFF"/>
            </w:tcBorders>
            <w:shd w:val="clear" w:color="auto" w:fill="CCEEFF"/>
          </w:tcPr>
          <w:p>
            <w:pPr>
              <w:spacing w:after="0"/>
              <w:rPr>
                <w:sz w:val="14"/>
                <w:szCs w:val="14"/>
                <w:color w:val="auto"/>
              </w:rPr>
            </w:pPr>
          </w:p>
        </w:tc>
        <w:tc>
          <w:tcPr>
            <w:tcW w:w="5500" w:type="dxa"/>
            <w:vAlign w:val="bottom"/>
            <w:tcBorders>
              <w:bottom w:val="single" w:sz="8" w:color="0000EE"/>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Opinion of McLaughlin &amp; Stern, LLP, regarding the validity of securities being registered</w:t>
            </w:r>
          </w:p>
        </w:tc>
        <w:tc>
          <w:tcPr>
            <w:tcW w:w="4640" w:type="dxa"/>
            <w:vAlign w:val="bottom"/>
            <w:tcBorders>
              <w:bottom w:val="single" w:sz="8" w:color="CCEEFF"/>
            </w:tcBorders>
            <w:shd w:val="clear" w:color="auto" w:fill="CCEEFF"/>
          </w:tcPr>
          <w:p>
            <w:pPr>
              <w:spacing w:after="0"/>
              <w:rPr>
                <w:sz w:val="14"/>
                <w:szCs w:val="14"/>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2"/>
                <w:szCs w:val="12"/>
                <w:color w:val="auto"/>
              </w:rPr>
            </w:pPr>
          </w:p>
        </w:tc>
        <w:tc>
          <w:tcPr>
            <w:tcW w:w="10140" w:type="dxa"/>
            <w:vAlign w:val="bottom"/>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Consent of HTL International, LLC</w:t>
            </w: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170"/>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23.2</w:t>
            </w:r>
          </w:p>
        </w:tc>
        <w:tc>
          <w:tcPr>
            <w:tcW w:w="100" w:type="dxa"/>
            <w:vAlign w:val="bottom"/>
            <w:shd w:val="clear" w:color="auto" w:fill="CCEEFF"/>
          </w:tcPr>
          <w:p>
            <w:pPr>
              <w:spacing w:after="0"/>
              <w:rPr>
                <w:sz w:val="14"/>
                <w:szCs w:val="14"/>
                <w:color w:val="auto"/>
              </w:rPr>
            </w:pPr>
          </w:p>
        </w:tc>
        <w:tc>
          <w:tcPr>
            <w:tcW w:w="1014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Consent of McLaughlin &amp; Stern, LLP (included in Exhibit 5.1)</w:t>
            </w:r>
          </w:p>
        </w:tc>
      </w:tr>
      <w:tr>
        <w:trPr>
          <w:trHeight w:val="149"/>
        </w:trPr>
        <w:tc>
          <w:tcPr>
            <w:tcW w:w="10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Borders>
              <w:top w:val="single" w:sz="8" w:color="CCEEFF"/>
            </w:tcBorders>
          </w:tcPr>
          <w:p>
            <w:pPr>
              <w:spacing w:after="0"/>
              <w:rPr>
                <w:sz w:val="12"/>
                <w:szCs w:val="12"/>
                <w:color w:val="auto"/>
              </w:rPr>
            </w:pPr>
          </w:p>
        </w:tc>
        <w:tc>
          <w:tcPr>
            <w:tcW w:w="3860" w:type="dxa"/>
            <w:vAlign w:val="bottom"/>
            <w:tcBorders>
              <w:top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Consent of Jiangsu Junjin Law Firm</w:t>
            </w:r>
          </w:p>
        </w:tc>
        <w:tc>
          <w:tcPr>
            <w:tcW w:w="6280" w:type="dxa"/>
            <w:vAlign w:val="bottom"/>
            <w:tcBorders>
              <w:top w:val="single" w:sz="8" w:color="CCEEFF"/>
            </w:tcBorders>
            <w:gridSpan w:val="2"/>
          </w:tcPr>
          <w:p>
            <w:pPr>
              <w:spacing w:after="0"/>
              <w:rPr>
                <w:sz w:val="12"/>
                <w:szCs w:val="12"/>
                <w:color w:val="auto"/>
              </w:rPr>
            </w:pP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40" w:type="dxa"/>
            <w:vAlign w:val="bottom"/>
          </w:tcPr>
          <w:p>
            <w:pPr>
              <w:spacing w:after="0"/>
              <w:rPr>
                <w:sz w:val="2"/>
                <w:szCs w:val="2"/>
                <w:color w:val="auto"/>
              </w:rPr>
            </w:pPr>
          </w:p>
        </w:tc>
      </w:tr>
      <w:tr>
        <w:trPr>
          <w:trHeight w:val="170"/>
        </w:trPr>
        <w:tc>
          <w:tcPr>
            <w:tcW w:w="10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24.1</w:t>
            </w:r>
          </w:p>
        </w:tc>
        <w:tc>
          <w:tcPr>
            <w:tcW w:w="100" w:type="dxa"/>
            <w:vAlign w:val="bottom"/>
            <w:tcBorders>
              <w:bottom w:val="single" w:sz="8" w:color="CCEEFF"/>
            </w:tcBorders>
            <w:shd w:val="clear" w:color="auto" w:fill="CCEEFF"/>
          </w:tcPr>
          <w:p>
            <w:pPr>
              <w:spacing w:after="0"/>
              <w:rPr>
                <w:sz w:val="14"/>
                <w:szCs w:val="14"/>
                <w:color w:val="auto"/>
              </w:rPr>
            </w:pPr>
          </w:p>
        </w:tc>
        <w:tc>
          <w:tcPr>
            <w:tcW w:w="3340" w:type="dxa"/>
            <w:vAlign w:val="bottom"/>
            <w:tcBorders>
              <w:bottom w:val="single" w:sz="8" w:color="0000EE"/>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Power of Attorney (included on signature page hereto)</w:t>
            </w:r>
          </w:p>
        </w:tc>
        <w:tc>
          <w:tcPr>
            <w:tcW w:w="6800" w:type="dxa"/>
            <w:vAlign w:val="bottom"/>
            <w:tcBorders>
              <w:bottom w:val="single" w:sz="8" w:color="CCEEFF"/>
            </w:tcBorders>
            <w:gridSpan w:val="3"/>
            <w:shd w:val="clear" w:color="auto" w:fill="CCEEFF"/>
          </w:tcPr>
          <w:p>
            <w:pPr>
              <w:spacing w:after="0"/>
              <w:rPr>
                <w:sz w:val="14"/>
                <w:szCs w:val="14"/>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5"/>
                <w:szCs w:val="15"/>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Form of T-1 Statement of Eligibility (senior indenture)</w:t>
            </w: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shd w:val="clear" w:color="auto" w:fill="CCEEFF"/>
          </w:tcPr>
          <w:p>
            <w:pPr>
              <w:spacing w:after="0"/>
              <w:rPr>
                <w:sz w:val="15"/>
                <w:szCs w:val="15"/>
                <w:color w:val="auto"/>
              </w:rPr>
            </w:pPr>
          </w:p>
        </w:tc>
        <w:tc>
          <w:tcPr>
            <w:tcW w:w="10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T-1 Statement of Eligibility (subordinated indenture)</w:t>
            </w:r>
          </w:p>
        </w:tc>
      </w:tr>
    </w:tbl>
    <w:p>
      <w:pPr>
        <w:ind w:left="1128" w:hanging="1128"/>
        <w:spacing w:after="0"/>
        <w:tabs>
          <w:tab w:leader="none" w:pos="112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Filing Fee Table</w:t>
      </w:r>
    </w:p>
    <w:p>
      <w:pPr>
        <w:spacing w:after="0" w:line="179" w:lineRule="exact"/>
        <w:rPr>
          <w:sz w:val="20"/>
          <w:szCs w:val="20"/>
          <w:color w:val="auto"/>
        </w:rPr>
      </w:pPr>
    </w:p>
    <w:p>
      <w:pPr>
        <w:ind w:left="268" w:hanging="268"/>
        <w:spacing w:after="0" w:line="290" w:lineRule="auto"/>
        <w:tabs>
          <w:tab w:leader="none" w:pos="268"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if necessary, after effectiveness of this registration statement by an amendment to the registration statement or incorporated by reference to a Current Report on Form 8-K filed in connection with an underwritten offering of the shares offered hereunder.</w:t>
      </w:r>
    </w:p>
    <w:p>
      <w:pPr>
        <w:spacing w:after="0" w:line="133" w:lineRule="exact"/>
        <w:rPr>
          <w:sz w:val="20"/>
          <w:szCs w:val="20"/>
          <w:color w:val="auto"/>
        </w:rPr>
      </w:pPr>
    </w:p>
    <w:p>
      <w:pPr>
        <w:ind w:left="5508" w:right="3840" w:hanging="5508"/>
        <w:spacing w:after="0" w:line="800" w:lineRule="auto"/>
        <w:tabs>
          <w:tab w:leader="none" w:pos="26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in accordance with the requirements of Section 305(b)(2) of the Trust Indenture Act of 1939, as amended.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-255270</wp:posOffset>
            </wp:positionV>
            <wp:extent cx="715327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77" w:name="page78"/>
    <w:bookmarkEnd w:id="77"/>
    <w:p>
      <w:pPr>
        <w:ind w:left="8"/>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8" w:lineRule="exact"/>
        <w:rPr>
          <w:sz w:val="20"/>
          <w:szCs w:val="20"/>
          <w:color w:val="auto"/>
        </w:rPr>
      </w:pPr>
    </w:p>
    <w:p>
      <w:pPr>
        <w:ind w:left="208" w:hanging="208"/>
        <w:spacing w:after="0"/>
        <w:tabs>
          <w:tab w:leader="none" w:pos="208"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93"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93" w:lineRule="exact"/>
        <w:rPr>
          <w:rFonts w:ascii="Times New Roman" w:cs="Times New Roman" w:eastAsia="Times New Roman" w:hAnsi="Times New Roman"/>
          <w:sz w:val="15"/>
          <w:szCs w:val="15"/>
          <w:color w:val="auto"/>
        </w:rPr>
      </w:pPr>
    </w:p>
    <w:p>
      <w:pPr>
        <w:ind w:left="1288" w:hanging="189"/>
        <w:spacing w:after="0"/>
        <w:tabs>
          <w:tab w:leader="none" w:pos="1288" w:val="left"/>
        </w:tabs>
        <w:numPr>
          <w:ilvl w:val="2"/>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93" w:lineRule="exact"/>
        <w:rPr>
          <w:rFonts w:ascii="Times New Roman" w:cs="Times New Roman" w:eastAsia="Times New Roman" w:hAnsi="Times New Roman"/>
          <w:sz w:val="15"/>
          <w:szCs w:val="15"/>
          <w:color w:val="auto"/>
        </w:rPr>
      </w:pPr>
    </w:p>
    <w:p>
      <w:pPr>
        <w:jc w:val="both"/>
        <w:ind w:left="8" w:firstLine="1091"/>
        <w:spacing w:after="0" w:line="263" w:lineRule="auto"/>
        <w:tabs>
          <w:tab w:leader="none" w:pos="1336" w:val="left"/>
        </w:tabs>
        <w:numPr>
          <w:ilvl w:val="2"/>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53" w:lineRule="exact"/>
        <w:rPr>
          <w:rFonts w:ascii="Times New Roman" w:cs="Times New Roman" w:eastAsia="Times New Roman" w:hAnsi="Times New Roman"/>
          <w:sz w:val="15"/>
          <w:szCs w:val="15"/>
          <w:color w:val="auto"/>
        </w:rPr>
      </w:pPr>
    </w:p>
    <w:p>
      <w:pPr>
        <w:jc w:val="both"/>
        <w:ind w:left="8" w:firstLine="1091"/>
        <w:spacing w:after="0" w:line="265" w:lineRule="auto"/>
        <w:tabs>
          <w:tab w:leader="none" w:pos="1378" w:val="left"/>
        </w:tabs>
        <w:numPr>
          <w:ilvl w:val="2"/>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337" w:lineRule="exact"/>
        <w:rPr>
          <w:rFonts w:ascii="Times New Roman" w:cs="Times New Roman" w:eastAsia="Times New Roman" w:hAnsi="Times New Roman"/>
          <w:sz w:val="15"/>
          <w:szCs w:val="15"/>
          <w:color w:val="auto"/>
        </w:rPr>
      </w:pPr>
    </w:p>
    <w:p>
      <w:pPr>
        <w:ind w:left="8" w:firstLine="541"/>
        <w:spacing w:after="0" w:line="290" w:lineRule="auto"/>
        <w:tabs>
          <w:tab w:leader="none" w:pos="774"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132"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93"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to any purchaser:</w:t>
      </w:r>
    </w:p>
    <w:p>
      <w:pPr>
        <w:spacing w:after="0" w:line="193" w:lineRule="exact"/>
        <w:rPr>
          <w:rFonts w:ascii="Times New Roman" w:cs="Times New Roman" w:eastAsia="Times New Roman" w:hAnsi="Times New Roman"/>
          <w:sz w:val="15"/>
          <w:szCs w:val="15"/>
          <w:color w:val="auto"/>
        </w:rPr>
      </w:pPr>
    </w:p>
    <w:p>
      <w:pPr>
        <w:ind w:left="8" w:right="20" w:firstLine="1640"/>
        <w:spacing w:after="0" w:line="290" w:lineRule="auto"/>
        <w:tabs>
          <w:tab w:leader="none" w:pos="1929" w:val="left"/>
        </w:tabs>
        <w:numPr>
          <w:ilvl w:val="3"/>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this Registration Statement; and</w:t>
      </w:r>
    </w:p>
    <w:p>
      <w:pPr>
        <w:spacing w:after="0" w:line="132" w:lineRule="exact"/>
        <w:rPr>
          <w:rFonts w:ascii="Times New Roman" w:cs="Times New Roman" w:eastAsia="Times New Roman" w:hAnsi="Times New Roman"/>
          <w:sz w:val="15"/>
          <w:szCs w:val="15"/>
          <w:color w:val="auto"/>
        </w:rPr>
      </w:pPr>
    </w:p>
    <w:p>
      <w:pPr>
        <w:jc w:val="both"/>
        <w:ind w:left="8" w:firstLine="1640"/>
        <w:spacing w:after="0" w:line="259" w:lineRule="auto"/>
        <w:tabs>
          <w:tab w:leader="none" w:pos="1898" w:val="left"/>
        </w:tabs>
        <w:numPr>
          <w:ilvl w:val="3"/>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this Registration Statement or made in any such document immediately prior to such effective date.</w:t>
      </w:r>
    </w:p>
    <w:p>
      <w:pPr>
        <w:spacing w:after="0" w:line="3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78" w:name="page79"/>
    <w:bookmarkEnd w:id="78"/>
    <w:p>
      <w:pPr>
        <w:jc w:val="both"/>
        <w:ind w:left="8" w:firstLine="541"/>
        <w:spacing w:after="0" w:line="266" w:lineRule="auto"/>
        <w:tabs>
          <w:tab w:leader="none" w:pos="794"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1" w:lineRule="exact"/>
        <w:rPr>
          <w:rFonts w:ascii="Times New Roman" w:cs="Times New Roman" w:eastAsia="Times New Roman" w:hAnsi="Times New Roman"/>
          <w:sz w:val="15"/>
          <w:szCs w:val="15"/>
          <w:color w:val="auto"/>
        </w:rPr>
      </w:pPr>
    </w:p>
    <w:p>
      <w:pPr>
        <w:ind w:left="1268" w:hanging="169"/>
        <w:spacing w:after="0"/>
        <w:tabs>
          <w:tab w:leader="none" w:pos="1268"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93" w:lineRule="exact"/>
        <w:rPr>
          <w:rFonts w:ascii="Times New Roman" w:cs="Times New Roman" w:eastAsia="Times New Roman" w:hAnsi="Times New Roman"/>
          <w:sz w:val="15"/>
          <w:szCs w:val="15"/>
          <w:color w:val="auto"/>
        </w:rPr>
      </w:pPr>
    </w:p>
    <w:p>
      <w:pPr>
        <w:ind w:left="1308" w:hanging="209"/>
        <w:spacing w:after="0"/>
        <w:tabs>
          <w:tab w:leader="none" w:pos="1308"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free-writing prospectus relating to the offering prepared by or on behalf of the undersigned registrant or used or referred to by the undersigned registrant;</w:t>
      </w:r>
    </w:p>
    <w:p>
      <w:pPr>
        <w:spacing w:after="0" w:line="193" w:lineRule="exact"/>
        <w:rPr>
          <w:rFonts w:ascii="Times New Roman" w:cs="Times New Roman" w:eastAsia="Times New Roman" w:hAnsi="Times New Roman"/>
          <w:sz w:val="15"/>
          <w:szCs w:val="15"/>
          <w:color w:val="auto"/>
        </w:rPr>
      </w:pPr>
    </w:p>
    <w:p>
      <w:pPr>
        <w:ind w:left="8" w:right="20" w:firstLine="1091"/>
        <w:spacing w:after="0" w:line="290" w:lineRule="auto"/>
        <w:tabs>
          <w:tab w:leader="none" w:pos="1372"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free-writing prospectus relating to the offering containing material information about the undersigned registrant or its securities provided by or on behalf of the undersigned registrant; and</w:t>
      </w:r>
    </w:p>
    <w:p>
      <w:pPr>
        <w:spacing w:after="0" w:line="132" w:lineRule="exact"/>
        <w:rPr>
          <w:rFonts w:ascii="Times New Roman" w:cs="Times New Roman" w:eastAsia="Times New Roman" w:hAnsi="Times New Roman"/>
          <w:sz w:val="15"/>
          <w:szCs w:val="15"/>
          <w:color w:val="auto"/>
        </w:rPr>
      </w:pPr>
    </w:p>
    <w:p>
      <w:pPr>
        <w:ind w:left="1348" w:hanging="249"/>
        <w:spacing w:after="0"/>
        <w:tabs>
          <w:tab w:leader="none" w:pos="1348" w:val="left"/>
        </w:tabs>
        <w:numPr>
          <w:ilvl w:val="2"/>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93" w:lineRule="exact"/>
        <w:rPr>
          <w:rFonts w:ascii="Times New Roman" w:cs="Times New Roman" w:eastAsia="Times New Roman" w:hAnsi="Times New Roman"/>
          <w:sz w:val="15"/>
          <w:szCs w:val="15"/>
          <w:color w:val="auto"/>
        </w:rPr>
      </w:pPr>
    </w:p>
    <w:p>
      <w:pPr>
        <w:jc w:val="both"/>
        <w:ind w:left="8" w:hanging="8"/>
        <w:spacing w:after="0" w:line="266" w:lineRule="auto"/>
        <w:tabs>
          <w:tab w:leader="none" w:pos="223"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offering thereof.</w:t>
      </w:r>
    </w:p>
    <w:p>
      <w:pPr>
        <w:spacing w:after="0" w:line="151" w:lineRule="exact"/>
        <w:rPr>
          <w:rFonts w:ascii="Times New Roman" w:cs="Times New Roman" w:eastAsia="Times New Roman" w:hAnsi="Times New Roman"/>
          <w:sz w:val="15"/>
          <w:szCs w:val="15"/>
          <w:color w:val="auto"/>
        </w:rPr>
      </w:pPr>
    </w:p>
    <w:p>
      <w:pPr>
        <w:jc w:val="both"/>
        <w:ind w:left="8" w:hanging="8"/>
        <w:spacing w:after="0" w:line="261" w:lineRule="auto"/>
        <w:tabs>
          <w:tab w:leader="none" w:pos="21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Insofar as indemnification for liabilities arising under the Securities Act,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6" w:lineRule="exact"/>
        <w:rPr>
          <w:rFonts w:ascii="Times New Roman" w:cs="Times New Roman" w:eastAsia="Times New Roman" w:hAnsi="Times New Roman"/>
          <w:sz w:val="15"/>
          <w:szCs w:val="15"/>
          <w:color w:val="auto"/>
        </w:rPr>
      </w:pPr>
    </w:p>
    <w:p>
      <w:pPr>
        <w:ind w:left="208" w:hanging="208"/>
        <w:spacing w:after="0"/>
        <w:tabs>
          <w:tab w:leader="none" w:pos="20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further undertakes that:</w:t>
      </w:r>
    </w:p>
    <w:p>
      <w:pPr>
        <w:spacing w:after="0" w:line="193" w:lineRule="exact"/>
        <w:rPr>
          <w:rFonts w:ascii="Times New Roman" w:cs="Times New Roman" w:eastAsia="Times New Roman" w:hAnsi="Times New Roman"/>
          <w:sz w:val="15"/>
          <w:szCs w:val="15"/>
          <w:color w:val="auto"/>
        </w:rPr>
      </w:pPr>
    </w:p>
    <w:p>
      <w:pPr>
        <w:jc w:val="both"/>
        <w:ind w:left="8" w:firstLine="541"/>
        <w:spacing w:after="0" w:line="272" w:lineRule="auto"/>
        <w:tabs>
          <w:tab w:leader="none" w:pos="79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determining any liability under the Securities Act, the information omitted from the form of prospectus filed as part of this Registration Statement in reliance under Rule 430A and contained in a form of prospectus filed by the registrant pursuant to Rule 424(b)(1) or (4), or 497(h) under the Securities Act shall be deemed to be part of this Registration Statement as of the time it was declared effective.</w:t>
      </w:r>
    </w:p>
    <w:p>
      <w:pPr>
        <w:spacing w:after="0" w:line="146" w:lineRule="exact"/>
        <w:rPr>
          <w:rFonts w:ascii="Times New Roman" w:cs="Times New Roman" w:eastAsia="Times New Roman" w:hAnsi="Times New Roman"/>
          <w:sz w:val="15"/>
          <w:szCs w:val="15"/>
          <w:color w:val="auto"/>
        </w:rPr>
      </w:pPr>
    </w:p>
    <w:p>
      <w:pPr>
        <w:ind w:left="8" w:firstLine="541"/>
        <w:spacing w:after="0" w:line="290" w:lineRule="auto"/>
        <w:tabs>
          <w:tab w:leader="none" w:pos="791"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Jersey City, New Jersey, on January 23, 2026.</w:t>
      </w:r>
    </w:p>
    <w:p>
      <w:pPr>
        <w:spacing w:after="0" w:line="1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GD Culture Group Limited</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Xiao Jian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18415</wp:posOffset>
            </wp:positionV>
            <wp:extent cx="264604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2646045" cy="14605"/>
                    </a:xfrm>
                    <a:prstGeom prst="rect">
                      <a:avLst/>
                    </a:prstGeom>
                    <a:noFill/>
                  </pic:spPr>
                </pic:pic>
              </a:graphicData>
            </a:graphic>
          </wp:anchor>
        </w:drawing>
      </w:r>
    </w:p>
    <w:p>
      <w:pPr>
        <w:spacing w:after="0" w:line="1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5"/>
          <w:szCs w:val="15"/>
          <w:color w:val="auto"/>
        </w:rPr>
        <w:t>Xiao Jian Wang</w:t>
      </w:r>
    </w:p>
    <w:p>
      <w:pPr>
        <w:spacing w:after="0" w:line="2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5"/>
          <w:szCs w:val="15"/>
          <w:color w:val="auto"/>
        </w:rPr>
        <w:t>Chief Executive Officer, President and</w:t>
      </w:r>
    </w:p>
    <w:p>
      <w:pPr>
        <w:spacing w:after="0" w:line="1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5"/>
          <w:szCs w:val="15"/>
          <w:color w:val="auto"/>
        </w:rPr>
        <w:t>Chairman of the Board</w:t>
      </w:r>
    </w:p>
    <w:p>
      <w:pPr>
        <w:spacing w:after="0" w:line="11"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5"/>
          <w:szCs w:val="15"/>
          <w:color w:val="auto"/>
        </w:rPr>
        <w:t>(Principal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KNOW ALL MEN BY THESE PRESENTS, that each person whose signature appears below constitutes and appoints Xiao Jian Wang and Zhihao Zhao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this Registration Statement has been signed by the following persons in the capacities and on the dates indicated.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Pr>
          <w:p>
            <w:pPr>
              <w:spacing w:after="0"/>
              <w:rPr>
                <w:sz w:val="17"/>
                <w:szCs w:val="17"/>
                <w:color w:val="auto"/>
              </w:rPr>
            </w:pPr>
          </w:p>
        </w:tc>
        <w:tc>
          <w:tcPr>
            <w:tcW w:w="6940" w:type="dxa"/>
            <w:vAlign w:val="bottom"/>
            <w:tcBorders>
              <w:bottom w:val="single" w:sz="8" w:color="auto"/>
            </w:tcBorders>
          </w:tcPr>
          <w:p>
            <w:pPr>
              <w:ind w:left="3180"/>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369"/>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Xiao Jian Wang</w:t>
            </w:r>
          </w:p>
        </w:tc>
        <w:tc>
          <w:tcPr>
            <w:tcW w:w="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Executive Officer, President and</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165"/>
        </w:trPr>
        <w:tc>
          <w:tcPr>
            <w:tcW w:w="22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Xiao Jian Wang</w:t>
            </w:r>
          </w:p>
        </w:tc>
        <w:tc>
          <w:tcPr>
            <w:tcW w:w="80" w:type="dxa"/>
            <w:vAlign w:val="bottom"/>
          </w:tcPr>
          <w:p>
            <w:pPr>
              <w:spacing w:after="0"/>
              <w:rPr>
                <w:sz w:val="14"/>
                <w:szCs w:val="14"/>
                <w:color w:val="auto"/>
              </w:rPr>
            </w:pPr>
          </w:p>
        </w:tc>
        <w:tc>
          <w:tcPr>
            <w:tcW w:w="7020" w:type="dxa"/>
            <w:vAlign w:val="bottom"/>
            <w:gridSpan w:val="2"/>
          </w:tcPr>
          <w:p>
            <w:pPr>
              <w:spacing w:after="0" w:line="164" w:lineRule="exact"/>
              <w:rPr>
                <w:sz w:val="20"/>
                <w:szCs w:val="20"/>
                <w:color w:val="auto"/>
              </w:rPr>
            </w:pPr>
            <w:r>
              <w:rPr>
                <w:rFonts w:ascii="Times New Roman" w:cs="Times New Roman" w:eastAsia="Times New Roman" w:hAnsi="Times New Roman"/>
                <w:sz w:val="15"/>
                <w:szCs w:val="15"/>
                <w:color w:val="auto"/>
              </w:rPr>
              <w:t>Chairman of the Board of Directors</w:t>
            </w:r>
          </w:p>
        </w:tc>
        <w:tc>
          <w:tcPr>
            <w:tcW w:w="1880" w:type="dxa"/>
            <w:vAlign w:val="bottom"/>
          </w:tcPr>
          <w:p>
            <w:pPr>
              <w:spacing w:after="0"/>
              <w:rPr>
                <w:sz w:val="14"/>
                <w:szCs w:val="14"/>
                <w:color w:val="auto"/>
              </w:rPr>
            </w:pPr>
          </w:p>
        </w:tc>
      </w:tr>
      <w:tr>
        <w:trPr>
          <w:trHeight w:val="202"/>
        </w:trPr>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(Principal Executive Officer)</w:t>
            </w:r>
          </w:p>
        </w:tc>
        <w:tc>
          <w:tcPr>
            <w:tcW w:w="1880" w:type="dxa"/>
            <w:vAlign w:val="bottom"/>
          </w:tcPr>
          <w:p>
            <w:pPr>
              <w:spacing w:after="0"/>
              <w:rPr>
                <w:sz w:val="17"/>
                <w:szCs w:val="17"/>
                <w:color w:val="auto"/>
              </w:rPr>
            </w:pPr>
          </w:p>
        </w:tc>
      </w:tr>
      <w:tr>
        <w:trPr>
          <w:trHeight w:val="369"/>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Zihao Zhao</w:t>
            </w:r>
          </w:p>
        </w:tc>
        <w:tc>
          <w:tcPr>
            <w:tcW w:w="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Chief Financial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Zihao Zhao</w:t>
            </w:r>
          </w:p>
        </w:tc>
        <w:tc>
          <w:tcPr>
            <w:tcW w:w="8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(Principal Financial Officer and Principal Accounting Officer)</w:t>
            </w:r>
          </w:p>
        </w:tc>
        <w:tc>
          <w:tcPr>
            <w:tcW w:w="1880" w:type="dxa"/>
            <w:vAlign w:val="bottom"/>
          </w:tcPr>
          <w:p>
            <w:pPr>
              <w:spacing w:after="0"/>
              <w:rPr>
                <w:sz w:val="17"/>
                <w:szCs w:val="17"/>
                <w:color w:val="auto"/>
              </w:rPr>
            </w:pPr>
          </w:p>
        </w:tc>
      </w:tr>
      <w:tr>
        <w:trPr>
          <w:trHeight w:val="35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Yun Zhang</w:t>
            </w:r>
          </w:p>
        </w:tc>
        <w:tc>
          <w:tcPr>
            <w:tcW w:w="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Yun Zhang</w:t>
            </w:r>
          </w:p>
        </w:tc>
        <w:tc>
          <w:tcPr>
            <w:tcW w:w="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Shuaiheng Zhang</w:t>
            </w:r>
          </w:p>
        </w:tc>
        <w:tc>
          <w:tcPr>
            <w:tcW w:w="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Shuaiheng Zhang</w:t>
            </w:r>
          </w:p>
        </w:tc>
        <w:tc>
          <w:tcPr>
            <w:tcW w:w="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4"/>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i w:val="1"/>
                <w:iCs w:val="1"/>
                <w:color w:val="auto"/>
              </w:rPr>
              <w:t>/s/ Lei Zhang</w:t>
            </w:r>
          </w:p>
        </w:tc>
        <w:tc>
          <w:tcPr>
            <w:tcW w:w="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January 23, 2026</w:t>
            </w:r>
          </w:p>
        </w:tc>
      </w:tr>
      <w:tr>
        <w:trPr>
          <w:trHeight w:val="198"/>
        </w:trPr>
        <w:tc>
          <w:tcPr>
            <w:tcW w:w="2280" w:type="dxa"/>
            <w:vAlign w:val="bottom"/>
          </w:tcPr>
          <w:p>
            <w:pPr>
              <w:spacing w:after="0"/>
              <w:rPr>
                <w:sz w:val="20"/>
                <w:szCs w:val="20"/>
                <w:color w:val="auto"/>
              </w:rPr>
            </w:pPr>
            <w:r>
              <w:rPr>
                <w:rFonts w:ascii="Times New Roman" w:cs="Times New Roman" w:eastAsia="Times New Roman" w:hAnsi="Times New Roman"/>
                <w:sz w:val="15"/>
                <w:szCs w:val="15"/>
                <w:color w:val="auto"/>
              </w:rPr>
              <w:t>Lei Zhang</w:t>
            </w:r>
          </w:p>
        </w:tc>
        <w:tc>
          <w:tcPr>
            <w:tcW w:w="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538"/>
        </w:trPr>
        <w:tc>
          <w:tcPr>
            <w:tcW w:w="2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gridSpan w:val="2"/>
          </w:tcPr>
          <w:p>
            <w:pPr>
              <w:ind w:left="3140"/>
              <w:spacing w:after="0"/>
              <w:rPr>
                <w:sz w:val="20"/>
                <w:szCs w:val="20"/>
                <w:color w:val="auto"/>
              </w:rPr>
            </w:pPr>
            <w:r>
              <w:rPr>
                <w:rFonts w:ascii="Times New Roman" w:cs="Times New Roman" w:eastAsia="Times New Roman" w:hAnsi="Times New Roman"/>
                <w:sz w:val="15"/>
                <w:szCs w:val="15"/>
                <w:color w:val="auto"/>
              </w:rPr>
              <w:t>II-5</w:t>
            </w: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5"/>
          <w:szCs w:val="15"/>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GD CULTURE GROUP LIMITED</w:t>
      </w:r>
    </w:p>
    <w:p>
      <w:pPr>
        <w:spacing w:after="0" w:line="1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FORM OF</w:t>
      </w:r>
    </w:p>
    <w:p>
      <w:pPr>
        <w:spacing w:after="0" w:line="1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5"/>
          <w:szCs w:val="15"/>
          <w:color w:val="auto"/>
        </w:rPr>
        <w:t>SENIOR INDENTURE</w:t>
      </w:r>
    </w:p>
    <w:p>
      <w:pPr>
        <w:spacing w:after="0" w:line="194" w:lineRule="exact"/>
        <w:rPr>
          <w:sz w:val="20"/>
          <w:szCs w:val="20"/>
          <w:color w:val="auto"/>
        </w:rPr>
      </w:pPr>
    </w:p>
    <w:p>
      <w:pPr>
        <w:ind w:left="3820"/>
        <w:spacing w:after="0"/>
        <w:tabs>
          <w:tab w:leader="none" w:pos="4740" w:val="left"/>
        </w:tabs>
        <w:rPr>
          <w:sz w:val="20"/>
          <w:szCs w:val="20"/>
          <w:color w:val="auto"/>
        </w:rPr>
      </w:pPr>
      <w:r>
        <w:rPr>
          <w:rFonts w:ascii="Times New Roman" w:cs="Times New Roman" w:eastAsia="Times New Roman" w:hAnsi="Times New Roman"/>
          <w:sz w:val="15"/>
          <w:szCs w:val="15"/>
          <w:color w:val="auto"/>
        </w:rPr>
        <w:t>Dated as of [</w:t>
      </w:r>
      <w:r>
        <w:rPr>
          <w:sz w:val="20"/>
          <w:szCs w:val="20"/>
          <w:color w:val="auto"/>
        </w:rPr>
        <w:tab/>
      </w:r>
      <w:r>
        <w:rPr>
          <w:rFonts w:ascii="Times New Roman" w:cs="Times New Roman" w:eastAsia="Times New Roman" w:hAnsi="Times New Roman"/>
          <w:sz w:val="14"/>
          <w:szCs w:val="14"/>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0" w:hanging="633"/>
        <w:spacing w:after="0"/>
        <w:tabs>
          <w:tab w:leader="none" w:pos="480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4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1077595</wp:posOffset>
            </wp:positionV>
            <wp:extent cx="715327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8"/>
        </w:trPr>
        <w:tc>
          <w:tcPr>
            <w:tcW w:w="1800" w:type="dxa"/>
            <w:vAlign w:val="bottom"/>
          </w:tcPr>
          <w:p>
            <w:pPr>
              <w:spacing w:after="0"/>
              <w:rPr>
                <w:sz w:val="17"/>
                <w:szCs w:val="17"/>
                <w:color w:val="auto"/>
              </w:rPr>
            </w:pPr>
          </w:p>
        </w:tc>
        <w:tc>
          <w:tcPr>
            <w:tcW w:w="8340" w:type="dxa"/>
            <w:vAlign w:val="bottom"/>
          </w:tcPr>
          <w:p>
            <w:pPr>
              <w:ind w:left="3060"/>
              <w:spacing w:after="0"/>
              <w:rPr>
                <w:sz w:val="20"/>
                <w:szCs w:val="20"/>
                <w:color w:val="auto"/>
              </w:rPr>
            </w:pPr>
            <w:r>
              <w:rPr>
                <w:rFonts w:ascii="Times New Roman" w:cs="Times New Roman" w:eastAsia="Times New Roman" w:hAnsi="Times New Roman"/>
                <w:sz w:val="15"/>
                <w:szCs w:val="15"/>
                <w:color w:val="auto"/>
              </w:rPr>
              <w:t>TABLE OF CONTENTS</w:t>
            </w:r>
          </w:p>
        </w:tc>
        <w:tc>
          <w:tcPr>
            <w:tcW w:w="1120" w:type="dxa"/>
            <w:vAlign w:val="bottom"/>
          </w:tcPr>
          <w:p>
            <w:pPr>
              <w:spacing w:after="0"/>
              <w:rPr>
                <w:sz w:val="17"/>
                <w:szCs w:val="17"/>
                <w:color w:val="auto"/>
              </w:rPr>
            </w:pPr>
          </w:p>
        </w:tc>
      </w:tr>
      <w:tr>
        <w:trPr>
          <w:trHeight w:val="369"/>
        </w:trPr>
        <w:tc>
          <w:tcPr>
            <w:tcW w:w="1800" w:type="dxa"/>
            <w:vAlign w:val="bottom"/>
            <w:tcBorders>
              <w:bottom w:val="single" w:sz="8" w:color="CCEEFF"/>
            </w:tcBorders>
          </w:tcPr>
          <w:p>
            <w:pPr>
              <w:spacing w:after="0"/>
              <w:rPr>
                <w:sz w:val="24"/>
                <w:szCs w:val="24"/>
                <w:color w:val="auto"/>
              </w:rPr>
            </w:pPr>
          </w:p>
        </w:tc>
        <w:tc>
          <w:tcPr>
            <w:tcW w:w="83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5"/>
                <w:szCs w:val="15"/>
                <w:color w:val="auto"/>
              </w:rPr>
              <w:t>PAGE</w:t>
            </w: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 DEFINITIONS AND INCORPORATION BY REFERENCE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Definitions.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1.02.</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Definitions.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1.03.</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1.04.</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Rules of Construction.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 THE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2.01.</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Issuable in Series.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2.02.</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Establishment of Terms of Series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2.03.</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Execution and Authentication.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2.04.</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Registrar and Paying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2.05.</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Paying Agent to Hold Money in Trust.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2.06.</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Securityholder Lists.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2.07.</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Transfer and Exchange.</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2.08.</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Mutilated, Destroyed, Lost and Stolen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2.09.</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Outstanding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2.10.</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2.11.</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Temporary 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2.12.</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Cancellation.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2.13.</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Defaulted Interest.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2.14.</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Global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2.15.</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CUSIP Numbers.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r>
      <w:tr>
        <w:trPr>
          <w:trHeight w:val="183"/>
        </w:trPr>
        <w:tc>
          <w:tcPr>
            <w:tcW w:w="10140" w:type="dxa"/>
            <w:vAlign w:val="bottom"/>
            <w:gridSpan w:val="2"/>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3"/>
        </w:trPr>
        <w:tc>
          <w:tcPr>
            <w:tcW w:w="10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REDEMPTION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3.01.</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Notice to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3.02.</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Selection of Securities to be Redeemed.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3.03.</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Notice of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3.04.</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Effect of Notice of Redemption.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3.05.</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Deposit of Redemption Price.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3.06.</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Securities Redeemed in Part.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800" w:type="dxa"/>
            <w:vAlign w:val="bottom"/>
            <w:shd w:val="clear" w:color="auto" w:fill="CCEEFF"/>
          </w:tcPr>
          <w:p>
            <w:pPr>
              <w:spacing w:after="0"/>
              <w:rPr>
                <w:sz w:val="15"/>
                <w:szCs w:val="15"/>
                <w:color w:val="auto"/>
              </w:rPr>
            </w:pPr>
          </w:p>
        </w:tc>
        <w:tc>
          <w:tcPr>
            <w:tcW w:w="8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8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4.01.</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Principal and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4.02.</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SEC Reports.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4.03.</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Compliance Certificate.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4.04.</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Stay, Extension and Usury Laws.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4.05.</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Corporate Existence.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4.06.</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Taxes.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4.07.</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Interest Notice.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4.08.</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Further Instruments and Acts.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800" w:type="dxa"/>
            <w:vAlign w:val="bottom"/>
            <w:shd w:val="clear" w:color="auto" w:fill="CCEEFF"/>
          </w:tcPr>
          <w:p>
            <w:pPr>
              <w:spacing w:after="0"/>
              <w:rPr>
                <w:sz w:val="15"/>
                <w:szCs w:val="15"/>
                <w:color w:val="auto"/>
              </w:rPr>
            </w:pPr>
          </w:p>
        </w:tc>
        <w:tc>
          <w:tcPr>
            <w:tcW w:w="8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ARTICLE V SUCCESSORS</w:t>
            </w:r>
          </w:p>
        </w:tc>
        <w:tc>
          <w:tcPr>
            <w:tcW w:w="8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5.01.</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When Company May Merge, Etc.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5.02.</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Successor Corporation Substituted.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0140" w:type="dxa"/>
            <w:vAlign w:val="bottom"/>
            <w:gridSpan w:val="2"/>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3"/>
        </w:trPr>
        <w:tc>
          <w:tcPr>
            <w:tcW w:w="10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VI DEFAULTS AND REMEDIES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6.01.</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Events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6.02.</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Acceleration of Maturity; Rescission and Annulment.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6.03.</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6.04.</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Trustee May File Proofs of Claim.</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w:t>
            </w:r>
          </w:p>
        </w:tc>
      </w:tr>
      <w:tr>
        <w:trPr>
          <w:trHeight w:val="183"/>
        </w:trPr>
        <w:tc>
          <w:tcPr>
            <w:tcW w:w="1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6.05.</w:t>
            </w: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Trustee May Enforce Claims Without Possession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r>
      <w:tr>
        <w:trPr>
          <w:trHeight w:val="198"/>
        </w:trPr>
        <w:tc>
          <w:tcPr>
            <w:tcW w:w="18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6.06.</w:t>
            </w:r>
          </w:p>
        </w:tc>
        <w:tc>
          <w:tcPr>
            <w:tcW w:w="8340" w:type="dxa"/>
            <w:vAlign w:val="bottom"/>
          </w:tcPr>
          <w:p>
            <w:pPr>
              <w:spacing w:after="0"/>
              <w:rPr>
                <w:sz w:val="20"/>
                <w:szCs w:val="20"/>
                <w:color w:val="auto"/>
              </w:rPr>
            </w:pPr>
            <w:r>
              <w:rPr>
                <w:rFonts w:ascii="Times New Roman" w:cs="Times New Roman" w:eastAsia="Times New Roman" w:hAnsi="Times New Roman"/>
                <w:sz w:val="15"/>
                <w:szCs w:val="15"/>
                <w:color w:val="auto"/>
              </w:rPr>
              <w:t>Application of Money Collected.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18</w:t>
            </w:r>
          </w:p>
        </w:tc>
      </w:tr>
    </w:tbl>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6.07.</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Limitation on Suits.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6.08.</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Unconditional Right of Holders to Receive Principal and Interest.</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6.09.</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Restoration of Rights and Remedies.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6.10.</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Rights and Remedies Cumulative.</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6.11.</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Delay or Omission Not Waiver.</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6.12.</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Control by Holders.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6.13.</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Waiver of Past Defaults.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6.14.</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Undertaking for Costs.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700" w:type="dxa"/>
            <w:vAlign w:val="bottom"/>
            <w:shd w:val="clear" w:color="auto" w:fill="CCEEFF"/>
          </w:tcPr>
          <w:p>
            <w:pPr>
              <w:spacing w:after="0"/>
              <w:rPr>
                <w:sz w:val="15"/>
                <w:szCs w:val="15"/>
                <w:color w:val="auto"/>
              </w:rPr>
            </w:pPr>
          </w:p>
        </w:tc>
        <w:tc>
          <w:tcPr>
            <w:tcW w:w="65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r>
      <w:tr>
        <w:trPr>
          <w:trHeight w:val="183"/>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ARTICLE VII TRUSTEE</w:t>
            </w:r>
          </w:p>
        </w:tc>
        <w:tc>
          <w:tcPr>
            <w:tcW w:w="6520" w:type="dxa"/>
            <w:vAlign w:val="bottom"/>
          </w:tcPr>
          <w:p>
            <w:pPr>
              <w:spacing w:after="0"/>
              <w:rPr>
                <w:sz w:val="15"/>
                <w:szCs w:val="15"/>
                <w:color w:val="auto"/>
              </w:rPr>
            </w:pP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7.01.</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Duties of Trustee.</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7.02.</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Rights of Trustee.</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7.03.</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Individual Rights of Trustee.</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7.04.</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Trustee’s Disclaimer.</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7.05.</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Notice of Defaults.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7.06.</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Reports by Trustee to Holders.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7.07.</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Compensation and Indemnity.</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7.08.</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Replacement of Trustee.</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7.09.</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Successor Trustee by Merger, etc.</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7.10.</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Eligibility; Disqualification.</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7.11.</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Preferential Collection of Claims Against Company.</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8220" w:type="dxa"/>
            <w:vAlign w:val="bottom"/>
            <w:gridSpan w:val="2"/>
          </w:tcPr>
          <w:p>
            <w:pPr>
              <w:spacing w:after="0"/>
              <w:rPr>
                <w:sz w:val="15"/>
                <w:szCs w:val="15"/>
                <w:color w:val="auto"/>
              </w:rPr>
            </w:pPr>
          </w:p>
        </w:tc>
        <w:tc>
          <w:tcPr>
            <w:tcW w:w="3040" w:type="dxa"/>
            <w:vAlign w:val="bottom"/>
          </w:tcPr>
          <w:p>
            <w:pPr>
              <w:spacing w:after="0"/>
              <w:rPr>
                <w:sz w:val="15"/>
                <w:szCs w:val="15"/>
                <w:color w:val="auto"/>
              </w:rPr>
            </w:pPr>
          </w:p>
        </w:tc>
      </w:tr>
      <w:tr>
        <w:trPr>
          <w:trHeight w:val="18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VIII SATISFACTION AND DISCHARGE; DEFEASANCE</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8.01.</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8.02.</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Application of Trust Funds; Indemnification.</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8.03.</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Legal Defeasance of Securities of any Series.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8.04.</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Covenant Defeasance.</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8.05.</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Repayment to Company.</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8220" w:type="dxa"/>
            <w:vAlign w:val="bottom"/>
            <w:gridSpan w:val="2"/>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r>
      <w:tr>
        <w:trPr>
          <w:trHeight w:val="183"/>
        </w:trPr>
        <w:tc>
          <w:tcPr>
            <w:tcW w:w="8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AMENDMENTS AND WAIVERS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9.01.</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Without Consent of Holders.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9.02.</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With Consent of Holders.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9.03.</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Limitations.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9.04.</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Compliance with Trust Indenture Act.</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9.05.</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Revocation and Effect of Consents.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9.06.</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Notation on or Exchange of Securities.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9.07.</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Trustee Protected.</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9.08.</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Effect of Supplemental Indenture.</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8220" w:type="dxa"/>
            <w:vAlign w:val="bottom"/>
            <w:gridSpan w:val="2"/>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r>
      <w:tr>
        <w:trPr>
          <w:trHeight w:val="183"/>
        </w:trPr>
        <w:tc>
          <w:tcPr>
            <w:tcW w:w="8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 MISCELLANEOUS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10.01.</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Trust Indenture Act Controls.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10.02.</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Notices.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10.03.</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Communication by Holders with Other Holders.</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10.04.</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Certificate and Opinion as to Conditions Precedent.</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10.05.</w:t>
            </w:r>
          </w:p>
        </w:tc>
        <w:tc>
          <w:tcPr>
            <w:tcW w:w="6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Statements Required in Certificate or Opinion.</w:t>
            </w:r>
          </w:p>
        </w:tc>
        <w:tc>
          <w:tcPr>
            <w:tcW w:w="304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31</w:t>
            </w:r>
          </w:p>
        </w:tc>
      </w:tr>
      <w:tr>
        <w:trPr>
          <w:trHeight w:val="198"/>
        </w:trPr>
        <w:tc>
          <w:tcPr>
            <w:tcW w:w="170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10.06.</w:t>
            </w:r>
          </w:p>
        </w:tc>
        <w:tc>
          <w:tcPr>
            <w:tcW w:w="65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Record Date for Vote or Consent of Holders.</w:t>
            </w:r>
          </w:p>
        </w:tc>
        <w:tc>
          <w:tcPr>
            <w:tcW w:w="304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31</w:t>
            </w:r>
          </w:p>
        </w:tc>
      </w:tr>
    </w:tbl>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10.07.</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Rules by Trustee and Agents.</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10.08.</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Legal Holidays.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10.09.</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 Recourse Against Others.</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10.10.</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Counterparts.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10.11.</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Governing Laws and Submission to Jurisdiction.</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10.12.</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 Adverse Interpretation of Other Agreements.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10.13.</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Successors.</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10.14.</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Severability.</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10.15.</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Table of Contents, Headings, Etc.</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10.16.</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Securities in a Foreign Currency or in ECU.</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10.17.</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Judgment Currency.</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10.18.</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Applicable Anti-Terrorism and Money Laundering Regulations.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8700" w:type="dxa"/>
            <w:vAlign w:val="bottom"/>
            <w:gridSpan w:val="2"/>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XI SINKING FUNDS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11.01.</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Applicability of Article.</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5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SECTION 11.02.</w:t>
            </w:r>
          </w:p>
        </w:tc>
        <w:tc>
          <w:tcPr>
            <w:tcW w:w="71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560" w:type="dxa"/>
            <w:vAlign w:val="bottom"/>
          </w:tcPr>
          <w:p>
            <w:pPr>
              <w:jc w:val="right"/>
              <w:ind w:right="40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SECTION 11.03.</w:t>
            </w:r>
          </w:p>
        </w:tc>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56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34</w:t>
            </w:r>
          </w:p>
        </w:tc>
      </w:tr>
    </w:tbl>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5"/>
          <w:szCs w:val="15"/>
          <w:color w:val="auto"/>
        </w:rPr>
        <w:t>Reconciliation and tie between Trust Indenture Act of 1939 and Indenture,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0" w:type="dxa"/>
            <w:vAlign w:val="bottom"/>
          </w:tcPr>
          <w:p>
            <w:pPr>
              <w:ind w:left="4940"/>
              <w:spacing w:after="0"/>
              <w:rPr>
                <w:sz w:val="20"/>
                <w:szCs w:val="20"/>
                <w:color w:val="auto"/>
              </w:rPr>
            </w:pPr>
            <w:r>
              <w:rPr>
                <w:rFonts w:ascii="Times New Roman" w:cs="Times New Roman" w:eastAsia="Times New Roman" w:hAnsi="Times New Roman"/>
                <w:sz w:val="15"/>
                <w:szCs w:val="15"/>
                <w:color w:val="auto"/>
              </w:rPr>
              <w:t>Dated as of [</w:t>
            </w:r>
          </w:p>
        </w:tc>
        <w:tc>
          <w:tcPr>
            <w:tcW w:w="546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 2026</w:t>
            </w:r>
          </w:p>
        </w:tc>
      </w:tr>
      <w:tr>
        <w:trPr>
          <w:trHeight w:val="183"/>
        </w:trPr>
        <w:tc>
          <w:tcPr>
            <w:tcW w:w="5800" w:type="dxa"/>
            <w:vAlign w:val="bottom"/>
          </w:tcPr>
          <w:p>
            <w:pPr>
              <w:spacing w:after="0"/>
              <w:rPr>
                <w:sz w:val="15"/>
                <w:szCs w:val="15"/>
                <w:color w:val="auto"/>
              </w:rPr>
            </w:pPr>
          </w:p>
        </w:tc>
        <w:tc>
          <w:tcPr>
            <w:tcW w:w="5460" w:type="dxa"/>
            <w:vAlign w:val="bottom"/>
          </w:tcPr>
          <w:p>
            <w:pPr>
              <w:spacing w:after="0"/>
              <w:rPr>
                <w:sz w:val="15"/>
                <w:szCs w:val="15"/>
                <w:color w:val="auto"/>
              </w:rPr>
            </w:pP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310(a)(1)</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(a)(3)</w:t>
            </w:r>
          </w:p>
        </w:tc>
        <w:tc>
          <w:tcPr>
            <w:tcW w:w="54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(a)(4)</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(a)(5)</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54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Section 311(a)</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7.11</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7.11</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312(a)</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2.06</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rPr>
              <w:t>10.03</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rPr>
              <w:t>10.03</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Section 313(a)</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(b)(1)</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(b)(2)</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(c)(1)</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314(a)</w:t>
            </w:r>
          </w:p>
        </w:tc>
        <w:tc>
          <w:tcPr>
            <w:tcW w:w="5460" w:type="dxa"/>
            <w:vAlign w:val="bottom"/>
            <w:shd w:val="clear" w:color="auto" w:fill="CCEEFF"/>
          </w:tcPr>
          <w:p>
            <w:pPr>
              <w:jc w:val="center"/>
              <w:ind w:left="3144"/>
              <w:spacing w:after="0"/>
              <w:rPr>
                <w:sz w:val="20"/>
                <w:szCs w:val="20"/>
                <w:color w:val="auto"/>
              </w:rPr>
            </w:pPr>
            <w:r>
              <w:rPr>
                <w:rFonts w:ascii="Times New Roman" w:cs="Times New Roman" w:eastAsia="Times New Roman" w:hAnsi="Times New Roman"/>
                <w:sz w:val="15"/>
                <w:szCs w:val="15"/>
                <w:color w:val="auto"/>
              </w:rPr>
              <w:t>4.02, 10.05</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(c)(1)</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rPr>
              <w:t>10.04</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(c)(2)</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rPr>
              <w:t>10.04</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(c)(3)</w:t>
            </w:r>
          </w:p>
        </w:tc>
        <w:tc>
          <w:tcPr>
            <w:tcW w:w="54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rPr>
              <w:t>10.05</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(f)</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315(a)</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7.05</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6.14</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Section 316(a)(1)(A)</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6.12</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(a)(1)(B)</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6.13</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5460" w:type="dxa"/>
            <w:vAlign w:val="bottom"/>
          </w:tcPr>
          <w:p>
            <w:pPr>
              <w:ind w:left="386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6.13</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rPr>
              <w:t>10.06</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317(a)(1)</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6.03</w:t>
            </w:r>
          </w:p>
        </w:tc>
      </w:tr>
      <w:tr>
        <w:trPr>
          <w:trHeight w:val="183"/>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w w:val="98"/>
              </w:rPr>
              <w:t>6.04</w:t>
            </w:r>
          </w:p>
        </w:tc>
      </w:tr>
      <w:tr>
        <w:trPr>
          <w:trHeight w:val="18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5460" w:type="dxa"/>
            <w:vAlign w:val="bottom"/>
            <w:shd w:val="clear" w:color="auto" w:fill="CCEEFF"/>
          </w:tcPr>
          <w:p>
            <w:pPr>
              <w:jc w:val="center"/>
              <w:ind w:left="3124"/>
              <w:spacing w:after="0"/>
              <w:rPr>
                <w:sz w:val="20"/>
                <w:szCs w:val="20"/>
                <w:color w:val="auto"/>
              </w:rPr>
            </w:pPr>
            <w:r>
              <w:rPr>
                <w:rFonts w:ascii="Times New Roman" w:cs="Times New Roman" w:eastAsia="Times New Roman" w:hAnsi="Times New Roman"/>
                <w:sz w:val="15"/>
                <w:szCs w:val="15"/>
                <w:color w:val="auto"/>
                <w:w w:val="98"/>
              </w:rPr>
              <w:t>2.05</w:t>
            </w:r>
          </w:p>
        </w:tc>
      </w:tr>
      <w:tr>
        <w:trPr>
          <w:trHeight w:val="198"/>
        </w:trPr>
        <w:tc>
          <w:tcPr>
            <w:tcW w:w="5800" w:type="dxa"/>
            <w:vAlign w:val="bottom"/>
          </w:tcPr>
          <w:p>
            <w:pPr>
              <w:spacing w:after="0"/>
              <w:rPr>
                <w:sz w:val="20"/>
                <w:szCs w:val="20"/>
                <w:color w:val="auto"/>
              </w:rPr>
            </w:pPr>
            <w:r>
              <w:rPr>
                <w:rFonts w:ascii="Times New Roman" w:cs="Times New Roman" w:eastAsia="Times New Roman" w:hAnsi="Times New Roman"/>
                <w:sz w:val="15"/>
                <w:szCs w:val="15"/>
                <w:color w:val="auto"/>
              </w:rPr>
              <w:t>Section 318(a)</w:t>
            </w:r>
          </w:p>
        </w:tc>
        <w:tc>
          <w:tcPr>
            <w:tcW w:w="5460" w:type="dxa"/>
            <w:vAlign w:val="bottom"/>
          </w:tcPr>
          <w:p>
            <w:pPr>
              <w:jc w:val="center"/>
              <w:ind w:left="3124"/>
              <w:spacing w:after="0"/>
              <w:rPr>
                <w:sz w:val="20"/>
                <w:szCs w:val="20"/>
                <w:color w:val="auto"/>
              </w:rPr>
            </w:pPr>
            <w:r>
              <w:rPr>
                <w:rFonts w:ascii="Times New Roman" w:cs="Times New Roman" w:eastAsia="Times New Roman" w:hAnsi="Times New Roman"/>
                <w:sz w:val="15"/>
                <w:szCs w:val="15"/>
                <w:color w:val="auto"/>
              </w:rPr>
              <w:t>10.01</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This reconciliation and tie shall not, for any purpose, be deemed to be part of the Indenture.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5" w:name="page86"/>
    <w:bookmarkEnd w:id="85"/>
    <w:p>
      <w:pPr>
        <w:ind w:left="540"/>
        <w:spacing w:after="0"/>
        <w:tabs>
          <w:tab w:leader="none" w:pos="2120" w:val="left"/>
          <w:tab w:leader="none" w:pos="9720" w:val="left"/>
        </w:tabs>
        <w:rPr>
          <w:sz w:val="20"/>
          <w:szCs w:val="20"/>
          <w:color w:val="auto"/>
        </w:rPr>
      </w:pPr>
      <w:r>
        <w:rPr>
          <w:rFonts w:ascii="Times New Roman" w:cs="Times New Roman" w:eastAsia="Times New Roman" w:hAnsi="Times New Roman"/>
          <w:sz w:val="15"/>
          <w:szCs w:val="15"/>
          <w:color w:val="auto"/>
        </w:rPr>
        <w:t>Indenture dated as of [</w:t>
        <w:tab/>
        <w:t>], 2026 between GD Culture Group Limited, a company organized under the laws of the Nevada (the “Company”) and [</w:t>
      </w:r>
      <w:r>
        <w:rPr>
          <w:sz w:val="20"/>
          <w:szCs w:val="20"/>
          <w:color w:val="auto"/>
        </w:rPr>
        <w:tab/>
      </w:r>
      <w:r>
        <w:rPr>
          <w:rFonts w:ascii="Times New Roman" w:cs="Times New Roman" w:eastAsia="Times New Roman" w:hAnsi="Times New Roman"/>
          <w:sz w:val="15"/>
          <w:szCs w:val="15"/>
          <w:color w:val="auto"/>
        </w:rPr>
        <w:t>] (the “Trustee”).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party agrees as follows for the benefit of the other party and for the equal and ratable benefit of the Holders of the Securities issued under this Indenture.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DEFINITIONS AND INCORPORATION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Additional Amounts</w:t>
      </w:r>
      <w:r>
        <w:rPr>
          <w:rFonts w:ascii="Times New Roman" w:cs="Times New Roman" w:eastAsia="Times New Roman" w:hAnsi="Times New Roman"/>
          <w:sz w:val="15"/>
          <w:szCs w:val="15"/>
          <w:color w:val="auto"/>
        </w:rPr>
        <w:t>”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25"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Agent</w:t>
      </w:r>
      <w:r>
        <w:rPr>
          <w:rFonts w:ascii="Times New Roman" w:cs="Times New Roman" w:eastAsia="Times New Roman" w:hAnsi="Times New Roman"/>
          <w:sz w:val="15"/>
          <w:szCs w:val="15"/>
          <w:color w:val="auto"/>
        </w:rPr>
        <w:t>” means any Registrar or Paying Agent.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Law</w:t>
      </w:r>
      <w:r>
        <w:rPr>
          <w:rFonts w:ascii="Times New Roman" w:cs="Times New Roman" w:eastAsia="Times New Roman" w:hAnsi="Times New Roman"/>
          <w:sz w:val="15"/>
          <w:szCs w:val="15"/>
          <w:color w:val="auto"/>
        </w:rPr>
        <w:t>” means Title 11 of the United States Code (or any successor thereto) or any similar federal or state law for the relief of debtors.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means the board of directors of the Company or any duly authorized committee thereof.</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Resolution</w:t>
      </w:r>
      <w:r>
        <w:rPr>
          <w:rFonts w:ascii="Times New Roman" w:cs="Times New Roman" w:eastAsia="Times New Roman" w:hAnsi="Times New Roman"/>
          <w:sz w:val="15"/>
          <w:szCs w:val="15"/>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a (x) Saturday, (y) Sunday or (z) day on which state or federally chartered banking institutions in New York, New York are not required to be open.</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Stock</w:t>
      </w:r>
      <w:r>
        <w:rPr>
          <w:rFonts w:ascii="Times New Roman" w:cs="Times New Roman" w:eastAsia="Times New Roman" w:hAnsi="Times New Roman"/>
          <w:sz w:val="15"/>
          <w:szCs w:val="15"/>
          <w:color w:val="auto"/>
        </w:rPr>
        <w:t>” of any Person means any and all shares, interests, rights to purchase, warrants, options, participations or other equivalents of or interests in (however designated) equity of such Person, but excluding any debt securities convertible into such equity.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Certificated Securities</w:t>
      </w:r>
      <w:r>
        <w:rPr>
          <w:rFonts w:ascii="Times New Roman" w:cs="Times New Roman" w:eastAsia="Times New Roman" w:hAnsi="Times New Roman"/>
          <w:sz w:val="15"/>
          <w:szCs w:val="15"/>
          <w:color w:val="auto"/>
        </w:rPr>
        <w:t>” means Securities in the form of physical, certificated Securities in registered form.</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the party named as such above until a successor replaces it in accordance with the terms of this Indenture and thereafter means the successor.</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Order</w:t>
      </w:r>
      <w:r>
        <w:rPr>
          <w:rFonts w:ascii="Times New Roman" w:cs="Times New Roman" w:eastAsia="Times New Roman" w:hAnsi="Times New Roman"/>
          <w:sz w:val="15"/>
          <w:szCs w:val="15"/>
          <w:color w:val="auto"/>
        </w:rPr>
        <w:t>” means a written order signed in the name of the Company by two Officers, one of whom must be the Company’s principal executive officer, principal financial officer or principal accounting officer.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Request</w:t>
      </w:r>
      <w:r>
        <w:rPr>
          <w:rFonts w:ascii="Times New Roman" w:cs="Times New Roman" w:eastAsia="Times New Roman" w:hAnsi="Times New Roman"/>
          <w:sz w:val="15"/>
          <w:szCs w:val="15"/>
          <w:color w:val="auto"/>
        </w:rPr>
        <w:t>” means a written request signed in the name of the Company by its Chairman of the Board, a President or a Vice President, and by its Chief Financial Officer, its Secretary or an Assistant Secretary, and delivered to the Trustee.</w:t>
      </w:r>
    </w:p>
    <w:p>
      <w:pPr>
        <w:spacing w:after="0" w:line="12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Trust Office</w:t>
      </w:r>
      <w:r>
        <w:rPr>
          <w:rFonts w:ascii="Times New Roman" w:cs="Times New Roman" w:eastAsia="Times New Roman" w:hAnsi="Times New Roman"/>
          <w:sz w:val="15"/>
          <w:szCs w:val="15"/>
          <w:color w:val="auto"/>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Custodian</w:t>
      </w:r>
      <w:r>
        <w:rPr>
          <w:rFonts w:ascii="Times New Roman" w:cs="Times New Roman" w:eastAsia="Times New Roman" w:hAnsi="Times New Roman"/>
          <w:sz w:val="15"/>
          <w:szCs w:val="15"/>
          <w:color w:val="auto"/>
        </w:rPr>
        <w:t>” means any receiver, trustee, assignee, liquidator, sequestrator or similar official under any Bankruptcy Law.</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or “default” means any event which is, or after notice or passage of time or both would be, an Event of Default.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6" w:name="page87"/>
    <w:bookmarkEnd w:id="86"/>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 Rate</w:t>
      </w:r>
      <w:r>
        <w:rPr>
          <w:rFonts w:ascii="Times New Roman" w:cs="Times New Roman" w:eastAsia="Times New Roman" w:hAnsi="Times New Roman"/>
          <w:sz w:val="15"/>
          <w:szCs w:val="15"/>
          <w:color w:val="auto"/>
        </w:rPr>
        <w:t>” means the default rate of interest specified in the Securities.</w:t>
      </w:r>
    </w:p>
    <w:p>
      <w:pPr>
        <w:spacing w:after="0" w:line="194"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Depository</w:t>
      </w:r>
      <w:r>
        <w:rPr>
          <w:rFonts w:ascii="Times New Roman" w:cs="Times New Roman" w:eastAsia="Times New Roman" w:hAnsi="Times New Roman"/>
          <w:sz w:val="15"/>
          <w:szCs w:val="15"/>
          <w:color w:val="auto"/>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spacing w:after="0" w:line="140"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Discount Security</w:t>
      </w:r>
      <w:r>
        <w:rPr>
          <w:rFonts w:ascii="Times New Roman" w:cs="Times New Roman" w:eastAsia="Times New Roman" w:hAnsi="Times New Roman"/>
          <w:sz w:val="15"/>
          <w:szCs w:val="15"/>
          <w:color w:val="auto"/>
        </w:rPr>
        <w:t>” means any Security that provides for an amount less than the stated principal amount thereof to be due and payable upon declaration of acceleration of the maturity thereof pursuant to Section 6.02.</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Dollars</w:t>
      </w:r>
      <w:r>
        <w:rPr>
          <w:rFonts w:ascii="Times New Roman" w:cs="Times New Roman" w:eastAsia="Times New Roman" w:hAnsi="Times New Roman"/>
          <w:sz w:val="15"/>
          <w:szCs w:val="15"/>
          <w:color w:val="auto"/>
        </w:rPr>
        <w:t>” means the currency of The United States of America.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ECU</w:t>
      </w:r>
      <w:r>
        <w:rPr>
          <w:rFonts w:ascii="Times New Roman" w:cs="Times New Roman" w:eastAsia="Times New Roman" w:hAnsi="Times New Roman"/>
          <w:sz w:val="15"/>
          <w:szCs w:val="15"/>
          <w:color w:val="auto"/>
        </w:rPr>
        <w:t>” means the European Currency Unit as determined by the Commission of the European Union.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Currency</w:t>
      </w:r>
      <w:r>
        <w:rPr>
          <w:rFonts w:ascii="Times New Roman" w:cs="Times New Roman" w:eastAsia="Times New Roman" w:hAnsi="Times New Roman"/>
          <w:sz w:val="15"/>
          <w:szCs w:val="15"/>
          <w:color w:val="auto"/>
        </w:rPr>
        <w:t>” means any currency or currency unit issued by a government other than the government of The United States of America.</w:t>
      </w:r>
    </w:p>
    <w:p>
      <w:pPr>
        <w:spacing w:after="0" w:line="194"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Government Obligations</w:t>
      </w:r>
      <w:r>
        <w:rPr>
          <w:rFonts w:ascii="Times New Roman" w:cs="Times New Roman" w:eastAsia="Times New Roman" w:hAnsi="Times New Roman"/>
          <w:sz w:val="15"/>
          <w:szCs w:val="15"/>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4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Global Securities</w:t>
      </w:r>
      <w:r>
        <w:rPr>
          <w:rFonts w:ascii="Times New Roman" w:cs="Times New Roman" w:eastAsia="Times New Roman" w:hAnsi="Times New Roman"/>
          <w:sz w:val="15"/>
          <w:szCs w:val="15"/>
          <w:color w:val="auto"/>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Securityholder</w:t>
      </w:r>
      <w:r>
        <w:rPr>
          <w:rFonts w:ascii="Times New Roman" w:cs="Times New Roman" w:eastAsia="Times New Roman" w:hAnsi="Times New Roman"/>
          <w:sz w:val="15"/>
          <w:szCs w:val="15"/>
          <w:color w:val="auto"/>
        </w:rPr>
        <w:t>” means a person in whose name a Security is registered.</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means this Indenture as amended and supplemented from time to time and shall include the form and terms of particular Series of Securities established as contemplated hereunder.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w:t>
      </w:r>
      <w:r>
        <w:rPr>
          <w:rFonts w:ascii="Times New Roman" w:cs="Times New Roman" w:eastAsia="Times New Roman" w:hAnsi="Times New Roman"/>
          <w:sz w:val="15"/>
          <w:szCs w:val="15"/>
          <w:color w:val="auto"/>
        </w:rPr>
        <w:t>,” in respect of the Securities, unless the context otherwise requires, refers to interest payable on the Securities, including any additional interest that may become payable pursuant to Section 6.02(b).</w:t>
      </w:r>
    </w:p>
    <w:p>
      <w:pPr>
        <w:spacing w:after="0" w:line="125"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Maturity</w:t>
      </w:r>
      <w:r>
        <w:rPr>
          <w:rFonts w:ascii="Times New Roman" w:cs="Times New Roman" w:eastAsia="Times New Roman" w:hAnsi="Times New Roman"/>
          <w:sz w:val="15"/>
          <w:szCs w:val="15"/>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40" w:lineRule="exact"/>
        <w:rPr>
          <w:sz w:val="20"/>
          <w:szCs w:val="20"/>
          <w:color w:val="auto"/>
        </w:rPr>
      </w:pPr>
    </w:p>
    <w:p>
      <w:pPr>
        <w:jc w:val="both"/>
        <w:ind w:firstLine="549"/>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w:t>
      </w:r>
      <w:r>
        <w:rPr>
          <w:rFonts w:ascii="Times New Roman" w:cs="Times New Roman" w:eastAsia="Times New Roman" w:hAnsi="Times New Roman"/>
          <w:sz w:val="15"/>
          <w:szCs w:val="15"/>
          <w:color w:val="auto"/>
        </w:rPr>
        <w:t>” means the Chairman of the Board, the President, any Vice-President, the Treasurer, the Secretary, any Assistant Treasurer or any Assistant Secretary of the Company.</w:t>
      </w:r>
    </w:p>
    <w:p>
      <w:pPr>
        <w:spacing w:after="0" w:line="358"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Officers’ Certificate</w:t>
      </w:r>
      <w:r>
        <w:rPr>
          <w:rFonts w:ascii="Times New Roman" w:cs="Times New Roman" w:eastAsia="Times New Roman" w:hAnsi="Times New Roman"/>
          <w:sz w:val="15"/>
          <w:szCs w:val="15"/>
          <w:color w:val="auto"/>
        </w:rPr>
        <w:t>” means a certificate signed by two Officers, one of whom must be the Company’s principal executive officer, principal financial officer or principal accounting officer.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Opinion of Counsel</w:t>
      </w:r>
      <w:r>
        <w:rPr>
          <w:rFonts w:ascii="Times New Roman" w:cs="Times New Roman" w:eastAsia="Times New Roman" w:hAnsi="Times New Roman"/>
          <w:sz w:val="15"/>
          <w:szCs w:val="15"/>
          <w:color w:val="auto"/>
        </w:rPr>
        <w:t>” means a written opinion of legal counsel who is, and which opinion is, acceptable to the Trustee and its counsel. Such legal counsel may be an employee of or counsel to the Company or the Trustee.</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corporation, partnership, joint venture, association, limited liability company, joint-stock company, trust, unincorporated organization or government or any agency or political subdivision thereof.</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principal</w:t>
      </w:r>
      <w:r>
        <w:rPr>
          <w:rFonts w:ascii="Times New Roman" w:cs="Times New Roman" w:eastAsia="Times New Roman" w:hAnsi="Times New Roman"/>
          <w:sz w:val="15"/>
          <w:szCs w:val="15"/>
          <w:color w:val="auto"/>
        </w:rPr>
        <w:t>” of a Security means the principal of the Security plus, when appropriate, the premium, if any, on, and any Additional Amounts in respect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87" w:name="page88"/>
    <w:bookmarkEnd w:id="87"/>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Responsible Officer</w:t>
      </w:r>
      <w:r>
        <w:rPr>
          <w:rFonts w:ascii="Times New Roman" w:cs="Times New Roman" w:eastAsia="Times New Roman" w:hAnsi="Times New Roman"/>
          <w:sz w:val="15"/>
          <w:szCs w:val="15"/>
          <w:color w:val="auto"/>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Securities and Exchange Commission.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means the debentures, notes or other debt instruments of the Company of any Series authenticated and delivered under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Series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Series of Securities</w:t>
      </w:r>
      <w:r>
        <w:rPr>
          <w:rFonts w:ascii="Times New Roman" w:cs="Times New Roman" w:eastAsia="Times New Roman" w:hAnsi="Times New Roman"/>
          <w:sz w:val="15"/>
          <w:szCs w:val="15"/>
          <w:color w:val="auto"/>
        </w:rPr>
        <w:t>” means each series of debentures, notes or other debt instruments of the Company created pursuant to Sections 2.01 and 2.02 hereof.</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Stated Maturity</w:t>
      </w:r>
      <w:r>
        <w:rPr>
          <w:rFonts w:ascii="Times New Roman" w:cs="Times New Roman" w:eastAsia="Times New Roman" w:hAnsi="Times New Roman"/>
          <w:sz w:val="15"/>
          <w:szCs w:val="15"/>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Subordinated Indebtedness</w:t>
      </w:r>
      <w:r>
        <w:rPr>
          <w:rFonts w:ascii="Times New Roman" w:cs="Times New Roman" w:eastAsia="Times New Roman" w:hAnsi="Times New Roman"/>
          <w:sz w:val="15"/>
          <w:szCs w:val="15"/>
          <w:color w:val="auto"/>
        </w:rPr>
        <w:t>” means any indebtedness which is expressly subordinated to the indebtedness evidenced by Securities.</w:t>
      </w:r>
    </w:p>
    <w:p>
      <w:pPr>
        <w:spacing w:after="0" w:line="194"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in respect of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4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TIA</w:t>
      </w:r>
      <w:r>
        <w:rPr>
          <w:rFonts w:ascii="Times New Roman" w:cs="Times New Roman" w:eastAsia="Times New Roman" w:hAnsi="Times New Roman"/>
          <w:sz w:val="15"/>
          <w:szCs w:val="15"/>
          <w:color w:val="auto"/>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25"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0" w:lineRule="exact"/>
        <w:rPr>
          <w:sz w:val="20"/>
          <w:szCs w:val="20"/>
          <w:color w:val="auto"/>
        </w:rPr>
      </w:pPr>
    </w:p>
    <w:p>
      <w:pPr>
        <w:jc w:val="both"/>
        <w:ind w:right="20" w:firstLine="549"/>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Government Obligations</w:t>
      </w:r>
      <w:r>
        <w:rPr>
          <w:rFonts w:ascii="Times New Roman" w:cs="Times New Roman" w:eastAsia="Times New Roman" w:hAnsi="Times New Roman"/>
          <w:sz w:val="15"/>
          <w:szCs w:val="15"/>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2"/>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SECTION 1.02. Other Definitions.</w:t>
            </w:r>
          </w:p>
        </w:tc>
        <w:tc>
          <w:tcPr>
            <w:tcW w:w="5520" w:type="dxa"/>
            <w:vAlign w:val="bottom"/>
          </w:tcPr>
          <w:p>
            <w:pPr>
              <w:spacing w:after="0"/>
              <w:rPr>
                <w:sz w:val="15"/>
                <w:szCs w:val="15"/>
                <w:color w:val="auto"/>
              </w:rPr>
            </w:pPr>
          </w:p>
        </w:tc>
      </w:tr>
      <w:tr>
        <w:trPr>
          <w:trHeight w:val="384"/>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TERM</w:t>
            </w:r>
          </w:p>
        </w:tc>
        <w:tc>
          <w:tcPr>
            <w:tcW w:w="1060" w:type="dxa"/>
            <w:vAlign w:val="bottom"/>
            <w:tcBorders>
              <w:top w:val="single" w:sz="8" w:color="auto"/>
            </w:tcBorders>
          </w:tcPr>
          <w:p>
            <w:pPr>
              <w:spacing w:after="0"/>
              <w:rPr>
                <w:sz w:val="24"/>
                <w:szCs w:val="24"/>
                <w:color w:val="auto"/>
              </w:rPr>
            </w:pPr>
          </w:p>
        </w:tc>
        <w:tc>
          <w:tcPr>
            <w:tcW w:w="3660" w:type="dxa"/>
            <w:vAlign w:val="bottom"/>
            <w:gridSpan w:val="2"/>
          </w:tcPr>
          <w:p>
            <w:pPr>
              <w:spacing w:after="0"/>
              <w:rPr>
                <w:sz w:val="24"/>
                <w:szCs w:val="24"/>
                <w:color w:val="auto"/>
              </w:rPr>
            </w:pPr>
          </w:p>
        </w:tc>
        <w:tc>
          <w:tcPr>
            <w:tcW w:w="5520" w:type="dxa"/>
            <w:vAlign w:val="bottom"/>
          </w:tcPr>
          <w:p>
            <w:pPr>
              <w:ind w:left="1960"/>
              <w:spacing w:after="0"/>
              <w:rPr>
                <w:sz w:val="20"/>
                <w:szCs w:val="20"/>
                <w:color w:val="auto"/>
              </w:rPr>
            </w:pPr>
            <w:r>
              <w:rPr>
                <w:rFonts w:ascii="Times New Roman" w:cs="Times New Roman" w:eastAsia="Times New Roman" w:hAnsi="Times New Roman"/>
                <w:sz w:val="15"/>
                <w:szCs w:val="15"/>
                <w:color w:val="auto"/>
              </w:rPr>
              <w:t>DEFINED IN SECTION</w:t>
            </w:r>
          </w:p>
        </w:tc>
      </w:tr>
      <w:tr>
        <w:trPr>
          <w:trHeight w:val="183"/>
        </w:trPr>
        <w:tc>
          <w:tcPr>
            <w:tcW w:w="55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“Applicable Law”</w:t>
            </w:r>
          </w:p>
        </w:tc>
        <w:tc>
          <w:tcPr>
            <w:tcW w:w="220" w:type="dxa"/>
            <w:vAlign w:val="bottom"/>
            <w:tcBorders>
              <w:top w:val="single" w:sz="8" w:color="CCEEFF"/>
            </w:tcBorders>
            <w:shd w:val="clear" w:color="auto" w:fill="CCEEFF"/>
          </w:tcPr>
          <w:p>
            <w:pPr>
              <w:spacing w:after="0"/>
              <w:rPr>
                <w:sz w:val="15"/>
                <w:szCs w:val="15"/>
                <w:color w:val="auto"/>
              </w:rPr>
            </w:pPr>
          </w:p>
        </w:tc>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10.18</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“Event of Default”</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6.01</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“Instrument”</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6.01</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“Journal”</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“Judgment Currency”</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“Legal Holiday”</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10.08</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“mandatory sinking fund payment”</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11.01</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“Market Exchange Rate”</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 Banking Day”</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“optional sinking fund payment”</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11.01</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“Paying Agent”</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“Registrar”</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2.04</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“Required Currency”</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5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“successor person”</w:t>
            </w: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5.01</w:t>
            </w:r>
          </w:p>
        </w:tc>
      </w:tr>
      <w:tr>
        <w:trPr>
          <w:trHeight w:val="183"/>
        </w:trPr>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“Temporary Securities”</w:t>
            </w: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2.11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u w:val="single" w:color="auto"/>
          <w:color w:val="auto"/>
        </w:rPr>
        <w:t>Incorporation by Reference of Trust Indenture Act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securities</w:t>
      </w:r>
      <w:r>
        <w:rPr>
          <w:rFonts w:ascii="Times New Roman" w:cs="Times New Roman" w:eastAsia="Times New Roman" w:hAnsi="Times New Roman"/>
          <w:sz w:val="15"/>
          <w:szCs w:val="15"/>
          <w:color w:val="auto"/>
        </w:rPr>
        <w:t>” means the Securities.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security holder</w:t>
      </w:r>
      <w:r>
        <w:rPr>
          <w:rFonts w:ascii="Times New Roman" w:cs="Times New Roman" w:eastAsia="Times New Roman" w:hAnsi="Times New Roman"/>
          <w:sz w:val="15"/>
          <w:szCs w:val="15"/>
          <w:color w:val="auto"/>
        </w:rPr>
        <w:t>” means a Securityholder.</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to be qualified</w:t>
      </w:r>
      <w:r>
        <w:rPr>
          <w:rFonts w:ascii="Times New Roman" w:cs="Times New Roman" w:eastAsia="Times New Roman" w:hAnsi="Times New Roman"/>
          <w:sz w:val="15"/>
          <w:szCs w:val="15"/>
          <w:color w:val="auto"/>
        </w:rPr>
        <w:t>” means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trustee</w:t>
      </w:r>
      <w:r>
        <w:rPr>
          <w:rFonts w:ascii="Times New Roman" w:cs="Times New Roman" w:eastAsia="Times New Roman" w:hAnsi="Times New Roman"/>
          <w:sz w:val="15"/>
          <w:szCs w:val="15"/>
          <w:color w:val="auto"/>
        </w:rPr>
        <w:t>” or “institutional trustee” means the Trustee.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obligor</w:t>
      </w:r>
      <w:r>
        <w:rPr>
          <w:rFonts w:ascii="Times New Roman" w:cs="Times New Roman" w:eastAsia="Times New Roman" w:hAnsi="Times New Roman"/>
          <w:sz w:val="15"/>
          <w:szCs w:val="15"/>
          <w:color w:val="auto"/>
        </w:rPr>
        <w:t>” on the indenture securities means the Company and any successor obligor upon the Securities.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All other terms used in this Indenture that are defined by the TIA, defined by TIA reference to another statute or defined by SEC rule under the TIA and not otherwise defined herein are used herein as so defined.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u w:val="single" w:color="auto"/>
          <w:color w:val="auto"/>
        </w:rPr>
        <w:t>Rules of Construction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Unless the context otherwise requires:</w:t>
      </w:r>
    </w:p>
    <w:p>
      <w:pPr>
        <w:spacing w:after="0" w:line="194" w:lineRule="exact"/>
        <w:rPr>
          <w:sz w:val="20"/>
          <w:szCs w:val="20"/>
          <w:color w:val="auto"/>
        </w:rPr>
      </w:pPr>
    </w:p>
    <w:p>
      <w:pPr>
        <w:ind w:left="740" w:hanging="199"/>
        <w:spacing w:after="0"/>
        <w:tabs>
          <w:tab w:leader="none" w:pos="7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 has the meaning assigned to it;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accounting term not otherwise defined has the meaning assigned to it in accordance with generally accepted accounting principles;</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6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“generally accepted accounting principles” shall mean generally accepted accounting principles in effect as of the time when and for the period as to which such accounting principles are to be applied;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is not exclusive;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words in the singular include the plural, and in the plural include the singular;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apply to successive events and transactions;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agreements and other instruments include subsequent amendments thereto;</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“merger” includes a statutory share exchange, and the term “merged” has a correlative meaning; and</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“herein,” “hereof” and other words of similar import refer to this Indenture as a whole and not to any particular Article, Section or other subdivision.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u w:val="single" w:color="auto"/>
          <w:color w:val="auto"/>
        </w:rPr>
        <w:t>Issuable in Series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2.02. </w:t>
      </w:r>
      <w:r>
        <w:rPr>
          <w:rFonts w:ascii="Times New Roman" w:cs="Times New Roman" w:eastAsia="Times New Roman" w:hAnsi="Times New Roman"/>
          <w:sz w:val="15"/>
          <w:szCs w:val="15"/>
          <w:u w:val="single" w:color="auto"/>
          <w:color w:val="auto"/>
        </w:rPr>
        <w:t>Establishment of Terms of Series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spacing w:after="0" w:line="146" w:lineRule="exact"/>
        <w:rPr>
          <w:sz w:val="20"/>
          <w:szCs w:val="20"/>
          <w:color w:val="auto"/>
        </w:rPr>
      </w:pPr>
    </w:p>
    <w:p>
      <w:pPr>
        <w:ind w:left="740" w:hanging="199"/>
        <w:spacing w:after="0"/>
        <w:tabs>
          <w:tab w:leader="none" w:pos="7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designation, aggregate principal amount and authorized denominations of the Securities of the Series;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(expressed as a percentage of the aggregate principal amount thereof) at which the Securities of the Series will be issued;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w:t>
      </w:r>
    </w:p>
    <w:p>
      <w:pPr>
        <w:spacing w:after="0" w:line="193" w:lineRule="exact"/>
        <w:rPr>
          <w:rFonts w:ascii="Times New Roman" w:cs="Times New Roman" w:eastAsia="Times New Roman" w:hAnsi="Times New Roman"/>
          <w:sz w:val="15"/>
          <w:szCs w:val="15"/>
          <w:color w:val="auto"/>
        </w:rPr>
      </w:pPr>
    </w:p>
    <w:p>
      <w:pPr>
        <w:jc w:val="both"/>
        <w:ind w:right="20" w:firstLine="541"/>
        <w:spacing w:after="0" w:line="272" w:lineRule="auto"/>
        <w:tabs>
          <w:tab w:leader="none" w:pos="766"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86"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optional or mandatory sinking fund provisions or conversion or exchangeability provisions upon which Securities of the Series shall be redeemed, purchased, converted or exchanged;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0" w:name="page91"/>
    <w:bookmarkEnd w:id="90"/>
    <w:p>
      <w:pPr>
        <w:ind w:firstLine="541"/>
        <w:spacing w:after="0" w:line="290" w:lineRule="auto"/>
        <w:tabs>
          <w:tab w:leader="none" w:pos="74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after which and the price or prices at which the Securities of the Series may be optionally redeemed or must be mandatorily redeemed and any other terms and provisions of optional or mandatory provisions;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denominations of $1,000 and any integral multiple thereof, the denominations in which the Securities of the Series shall be issuable;</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71"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full principal amount, the portion of the principal amount of the Securities of the Series that shall be payable upon declaration of acceleration pursuant to Section 6.02 or provable in bankruptcy;</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3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35"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including composite currencies, in which payments of principal of, premium or interest, if any, on the Securities of the Series will be payable, if other than the currency of the United States of America;</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7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33"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interest, if any, on the Securities of the Series will be payable, at the Company’s election or at the election of any Holder, in cash or additional securities, and the terms and conditions upon which the election may be made;</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815"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6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restrictive covenants or other material terms relating to the Securities of the Series;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will be issued in the form of global securities or certificates in registered form;</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terms with respect to subordination;</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on any securities exchange or quotation system;</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provisions, if any, related to defeasance and discharge of the offered debt securities; and</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any guarantees, which would be governed by New York law.</w:t>
      </w:r>
    </w:p>
    <w:p>
      <w:pPr>
        <w:spacing w:after="0" w:line="19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u w:val="single" w:color="auto"/>
          <w:color w:val="auto"/>
        </w:rPr>
        <w:t>Execution and Authentication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Two Officers shall sign the Securities for the Company by manual or facsimile signature.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an Officer whose signature is on a Security no longer holds that office at the time the Security is authenticated, the Security shall nevertheless be valid.</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1" w:name="page92"/>
    <w:bookmarkEnd w:id="91"/>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spacing w:after="0" w:line="146"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spacing w:after="0" w:line="146"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2.04. </w:t>
      </w:r>
      <w:r>
        <w:rPr>
          <w:rFonts w:ascii="Times New Roman" w:cs="Times New Roman" w:eastAsia="Times New Roman" w:hAnsi="Times New Roman"/>
          <w:sz w:val="15"/>
          <w:szCs w:val="15"/>
          <w:u w:val="single" w:color="auto"/>
          <w:color w:val="auto"/>
        </w:rPr>
        <w:t>Registrar and Paying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spacing w:after="0" w:line="157"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2" w:name="page93"/>
    <w:bookmarkEnd w:id="92"/>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2.05. </w:t>
      </w:r>
      <w:r>
        <w:rPr>
          <w:rFonts w:ascii="Times New Roman" w:cs="Times New Roman" w:eastAsia="Times New Roman" w:hAnsi="Times New Roman"/>
          <w:sz w:val="15"/>
          <w:szCs w:val="15"/>
          <w:u w:val="single" w:color="auto"/>
          <w:color w:val="auto"/>
        </w:rPr>
        <w:t>Paying Agent to Hold Money in Trust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2.06. </w:t>
      </w:r>
      <w:r>
        <w:rPr>
          <w:rFonts w:ascii="Times New Roman" w:cs="Times New Roman" w:eastAsia="Times New Roman" w:hAnsi="Times New Roman"/>
          <w:sz w:val="15"/>
          <w:szCs w:val="15"/>
          <w:u w:val="single" w:color="auto"/>
          <w:color w:val="auto"/>
        </w:rPr>
        <w:t>Securityholder Lists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2.07. </w:t>
      </w:r>
      <w:r>
        <w:rPr>
          <w:rFonts w:ascii="Times New Roman" w:cs="Times New Roman" w:eastAsia="Times New Roman" w:hAnsi="Times New Roman"/>
          <w:sz w:val="15"/>
          <w:szCs w:val="15"/>
          <w:u w:val="single" w:color="auto"/>
          <w:color w:val="auto"/>
        </w:rPr>
        <w:t>Transfer and Exchange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w:t>
      </w:r>
    </w:p>
    <w:p>
      <w:pPr>
        <w:spacing w:after="0" w:line="151"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1"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u w:val="single" w:color="auto"/>
          <w:color w:val="auto"/>
        </w:rPr>
        <w:t>Mutilated, Destroyed, Lost and Stolen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3" w:name="page94"/>
    <w:bookmarkEnd w:id="93"/>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6"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2.09. </w:t>
      </w:r>
      <w:r>
        <w:rPr>
          <w:rFonts w:ascii="Times New Roman" w:cs="Times New Roman" w:eastAsia="Times New Roman" w:hAnsi="Times New Roman"/>
          <w:sz w:val="15"/>
          <w:szCs w:val="15"/>
          <w:u w:val="single" w:color="auto"/>
          <w:color w:val="auto"/>
        </w:rPr>
        <w:t>Outstanding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a Security is replaced pursuant to Section 2.08, it ceases to be outstanding until the Trustee receives proof satisfactory to it that the replaced Security is held by a bona fide purchaser.</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Security does not cease to be outstanding because the Company or an Affiliate holds the Security.</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u w:val="single" w:color="auto"/>
          <w:color w:val="auto"/>
        </w:rPr>
        <w:t>Treasury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Temporary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spacing w:after="0" w:line="151"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2.13. </w:t>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2.14. </w:t>
      </w:r>
      <w:r>
        <w:rPr>
          <w:rFonts w:ascii="Times New Roman" w:cs="Times New Roman" w:eastAsia="Times New Roman" w:hAnsi="Times New Roman"/>
          <w:sz w:val="15"/>
          <w:szCs w:val="15"/>
          <w:u w:val="single" w:color="auto"/>
          <w:color w:val="auto"/>
        </w:rPr>
        <w:t>Global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541"/>
        <w:spacing w:after="0" w:line="290" w:lineRule="auto"/>
        <w:tabs>
          <w:tab w:leader="none" w:pos="763"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spacing w:after="0" w:line="132" w:lineRule="exact"/>
        <w:rPr>
          <w:rFonts w:ascii="Times New Roman" w:cs="Times New Roman" w:eastAsia="Times New Roman" w:hAnsi="Times New Roman"/>
          <w:sz w:val="15"/>
          <w:szCs w:val="15"/>
          <w:color w:val="auto"/>
        </w:rPr>
      </w:pPr>
    </w:p>
    <w:p>
      <w:pPr>
        <w:jc w:val="both"/>
        <w:ind w:firstLine="541"/>
        <w:spacing w:after="0" w:line="262" w:lineRule="auto"/>
        <w:tabs>
          <w:tab w:leader="none" w:pos="766"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spacing w:after="0" w:line="340" w:lineRule="exact"/>
        <w:rPr>
          <w:rFonts w:ascii="Times New Roman" w:cs="Times New Roman" w:eastAsia="Times New Roman" w:hAnsi="Times New Roman"/>
          <w:sz w:val="15"/>
          <w:szCs w:val="15"/>
          <w:color w:val="auto"/>
        </w:rPr>
      </w:pPr>
    </w:p>
    <w:p>
      <w:pPr>
        <w:jc w:val="both"/>
        <w:ind w:left="540" w:firstLine="551"/>
        <w:spacing w:after="0" w:line="272" w:lineRule="auto"/>
        <w:tabs>
          <w:tab w:leader="none" w:pos="1353"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46" w:lineRule="exact"/>
        <w:rPr>
          <w:rFonts w:ascii="Times New Roman" w:cs="Times New Roman" w:eastAsia="Times New Roman" w:hAnsi="Times New Roman"/>
          <w:sz w:val="15"/>
          <w:szCs w:val="15"/>
          <w:color w:val="auto"/>
        </w:rPr>
      </w:pPr>
    </w:p>
    <w:p>
      <w:pPr>
        <w:jc w:val="both"/>
        <w:ind w:left="540" w:firstLine="551"/>
        <w:spacing w:after="0" w:line="260" w:lineRule="auto"/>
        <w:tabs>
          <w:tab w:leader="none" w:pos="1399"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5" w:name="page96"/>
    <w:bookmarkEnd w:id="95"/>
    <w:p>
      <w:pPr>
        <w:ind w:left="540" w:right="20" w:firstLine="551"/>
        <w:spacing w:after="0" w:line="290" w:lineRule="auto"/>
        <w:tabs>
          <w:tab w:leader="none" w:pos="1349"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1" w:lineRule="auto"/>
        <w:tabs>
          <w:tab w:leader="none" w:pos="1325"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spacing w:after="0" w:line="156" w:lineRule="exact"/>
        <w:rPr>
          <w:rFonts w:ascii="Times New Roman" w:cs="Times New Roman" w:eastAsia="Times New Roman" w:hAnsi="Times New Roman"/>
          <w:sz w:val="15"/>
          <w:szCs w:val="15"/>
          <w:color w:val="auto"/>
        </w:rPr>
      </w:pPr>
    </w:p>
    <w:p>
      <w:pPr>
        <w:jc w:val="both"/>
        <w:ind w:left="540" w:firstLine="551"/>
        <w:spacing w:after="0" w:line="272" w:lineRule="auto"/>
        <w:tabs>
          <w:tab w:leader="none" w:pos="1355"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 Any Global Security issued hereunder shall bear a legend in substantially the following form:</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51" w:lineRule="exact"/>
        <w:rPr>
          <w:sz w:val="20"/>
          <w:szCs w:val="20"/>
          <w:color w:val="auto"/>
        </w:rPr>
      </w:pPr>
    </w:p>
    <w:p>
      <w:pPr>
        <w:ind w:right="20" w:firstLine="541"/>
        <w:spacing w:after="0" w:line="290" w:lineRule="auto"/>
        <w:tabs>
          <w:tab w:leader="none" w:pos="76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61"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other provisions of this Indenture, unless otherwise specified as contemplated by Section 2.02, payment of the principal of and interest, if any, on any Global Security shall be made to the Holder thereof at their registered office.</w:t>
      </w:r>
    </w:p>
    <w:p>
      <w:pPr>
        <w:spacing w:after="0" w:line="132" w:lineRule="exact"/>
        <w:rPr>
          <w:rFonts w:ascii="Times New Roman" w:cs="Times New Roman" w:eastAsia="Times New Roman" w:hAnsi="Times New Roman"/>
          <w:sz w:val="15"/>
          <w:szCs w:val="15"/>
          <w:color w:val="auto"/>
        </w:rPr>
      </w:pPr>
    </w:p>
    <w:p>
      <w:pPr>
        <w:jc w:val="both"/>
        <w:ind w:firstLine="541"/>
        <w:spacing w:after="0" w:line="261" w:lineRule="auto"/>
        <w:tabs>
          <w:tab w:leader="none" w:pos="743"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2.15. </w:t>
      </w:r>
      <w:r>
        <w:rPr>
          <w:rFonts w:ascii="Times New Roman" w:cs="Times New Roman" w:eastAsia="Times New Roman" w:hAnsi="Times New Roman"/>
          <w:sz w:val="15"/>
          <w:szCs w:val="15"/>
          <w:u w:val="single" w:color="auto"/>
          <w:color w:val="auto"/>
        </w:rPr>
        <w:t>CUSIP Numbers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REDEMPTION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u w:val="single" w:color="auto"/>
          <w:color w:val="auto"/>
        </w:rPr>
        <w:t>Notice to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u w:val="single" w:color="auto"/>
          <w:color w:val="auto"/>
        </w:rPr>
        <w:t>Selection of Securities to be Redeemed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3.03. </w:t>
      </w:r>
      <w:r>
        <w:rPr>
          <w:rFonts w:ascii="Times New Roman" w:cs="Times New Roman" w:eastAsia="Times New Roman" w:hAnsi="Times New Roman"/>
          <w:sz w:val="15"/>
          <w:szCs w:val="15"/>
          <w:u w:val="single" w:color="auto"/>
          <w:color w:val="auto"/>
        </w:rPr>
        <w:t>Notice of Redemption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notice shall identify the Securities of the Series to be redeemed and shall state:</w:t>
      </w:r>
    </w:p>
    <w:p>
      <w:pPr>
        <w:spacing w:after="0" w:line="194" w:lineRule="exact"/>
        <w:rPr>
          <w:sz w:val="20"/>
          <w:szCs w:val="20"/>
          <w:color w:val="auto"/>
        </w:rPr>
      </w:pPr>
    </w:p>
    <w:p>
      <w:pPr>
        <w:ind w:left="740" w:hanging="199"/>
        <w:spacing w:after="0"/>
        <w:tabs>
          <w:tab w:leader="none" w:pos="7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date;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price;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the Paying Agent;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Securities of the Series called for redemption must be surrendered to the Paying Agent to collect the redemption price;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interest on Securities of the Series called for redemption ceases to accrue on and after the redemption date; and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as may be required by the terms of the particular Series or the Securities of a Series being redeemed.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 the Company’s written request, the Trustee shall distribute the notice of redemption prepared by the Company in the Company’s name and at its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3.04. </w:t>
      </w:r>
      <w:r>
        <w:rPr>
          <w:rFonts w:ascii="Times New Roman" w:cs="Times New Roman" w:eastAsia="Times New Roman" w:hAnsi="Times New Roman"/>
          <w:sz w:val="15"/>
          <w:szCs w:val="15"/>
          <w:u w:val="single" w:color="auto"/>
          <w:color w:val="auto"/>
        </w:rPr>
        <w:t>Effect of Notice of Redemption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7" w:name="page98"/>
    <w:bookmarkEnd w:id="97"/>
    <w:p>
      <w:pPr>
        <w:ind w:left="8"/>
        <w:spacing w:after="0"/>
        <w:rPr>
          <w:sz w:val="20"/>
          <w:szCs w:val="20"/>
          <w:color w:val="auto"/>
        </w:rPr>
      </w:pPr>
      <w:r>
        <w:rPr>
          <w:rFonts w:ascii="Times New Roman" w:cs="Times New Roman" w:eastAsia="Times New Roman" w:hAnsi="Times New Roman"/>
          <w:sz w:val="15"/>
          <w:szCs w:val="15"/>
          <w:color w:val="auto"/>
        </w:rPr>
        <w:t xml:space="preserve">SECTION 3.05. </w:t>
      </w:r>
      <w:r>
        <w:rPr>
          <w:rFonts w:ascii="Times New Roman" w:cs="Times New Roman" w:eastAsia="Times New Roman" w:hAnsi="Times New Roman"/>
          <w:sz w:val="15"/>
          <w:szCs w:val="15"/>
          <w:u w:val="single" w:color="auto"/>
          <w:color w:val="auto"/>
        </w:rPr>
        <w:t>Deposit of Redemption Price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right="20" w:firstLine="549"/>
        <w:spacing w:after="0" w:line="290" w:lineRule="auto"/>
        <w:rPr>
          <w:sz w:val="20"/>
          <w:szCs w:val="20"/>
          <w:color w:val="auto"/>
        </w:rPr>
      </w:pPr>
      <w:r>
        <w:rPr>
          <w:rFonts w:ascii="Times New Roman" w:cs="Times New Roman" w:eastAsia="Times New Roman" w:hAnsi="Times New Roman"/>
          <w:sz w:val="15"/>
          <w:szCs w:val="15"/>
          <w:color w:val="auto"/>
        </w:rPr>
        <w:t>On or before the redemption date, the Company shall deposit with the Paying Agent money sufficient to pay the redemption price of and accrued interest, if any, on all Securities to be redeemed on that date.</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3.06. </w:t>
      </w:r>
      <w:r>
        <w:rPr>
          <w:rFonts w:ascii="Times New Roman" w:cs="Times New Roman" w:eastAsia="Times New Roman" w:hAnsi="Times New Roman"/>
          <w:sz w:val="15"/>
          <w:szCs w:val="15"/>
          <w:u w:val="single" w:color="auto"/>
          <w:color w:val="auto"/>
        </w:rPr>
        <w:t>Securities Redeemed in Part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right="20" w:firstLine="549"/>
        <w:spacing w:after="0" w:line="290" w:lineRule="auto"/>
        <w:rPr>
          <w:sz w:val="20"/>
          <w:szCs w:val="20"/>
          <w:color w:val="auto"/>
        </w:rPr>
      </w:pPr>
      <w:r>
        <w:rPr>
          <w:rFonts w:ascii="Times New Roman" w:cs="Times New Roman" w:eastAsia="Times New Roman" w:hAnsi="Times New Roman"/>
          <w:sz w:val="15"/>
          <w:szCs w:val="15"/>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ARTICLE IV</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COVENANTS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4.01. </w:t>
      </w:r>
      <w:r>
        <w:rPr>
          <w:rFonts w:ascii="Times New Roman" w:cs="Times New Roman" w:eastAsia="Times New Roman" w:hAnsi="Times New Roman"/>
          <w:sz w:val="15"/>
          <w:szCs w:val="15"/>
          <w:u w:val="single" w:color="auto"/>
          <w:color w:val="auto"/>
        </w:rPr>
        <w:t>Payment of Principal and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right="20" w:firstLine="549"/>
        <w:spacing w:after="0" w:line="290" w:lineRule="auto"/>
        <w:rPr>
          <w:sz w:val="20"/>
          <w:szCs w:val="20"/>
          <w:color w:val="auto"/>
        </w:rPr>
      </w:pPr>
      <w:r>
        <w:rPr>
          <w:rFonts w:ascii="Times New Roman" w:cs="Times New Roman" w:eastAsia="Times New Roman" w:hAnsi="Times New Roman"/>
          <w:sz w:val="15"/>
          <w:szCs w:val="15"/>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3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Unless otherwise provided under the terms of a particular Series of Securities:</w:t>
      </w:r>
    </w:p>
    <w:p>
      <w:pPr>
        <w:spacing w:after="0" w:line="194" w:lineRule="exact"/>
        <w:rPr>
          <w:sz w:val="20"/>
          <w:szCs w:val="20"/>
          <w:color w:val="auto"/>
        </w:rPr>
      </w:pPr>
    </w:p>
    <w:p>
      <w:pPr>
        <w:jc w:val="both"/>
        <w:ind w:left="8" w:firstLine="549"/>
        <w:spacing w:after="0" w:line="272" w:lineRule="auto"/>
        <w:rPr>
          <w:sz w:val="20"/>
          <w:szCs w:val="20"/>
          <w:color w:val="auto"/>
        </w:rPr>
      </w:pPr>
      <w:r>
        <w:rPr>
          <w:rFonts w:ascii="Times New Roman" w:cs="Times New Roman" w:eastAsia="Times New Roman" w:hAnsi="Times New Roman"/>
          <w:sz w:val="15"/>
          <w:szCs w:val="15"/>
          <w:color w:val="auto"/>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spacing w:after="0" w:line="146" w:lineRule="exact"/>
        <w:rPr>
          <w:sz w:val="20"/>
          <w:szCs w:val="20"/>
          <w:color w:val="auto"/>
        </w:rPr>
      </w:pPr>
    </w:p>
    <w:p>
      <w:pPr>
        <w:ind w:left="548"/>
        <w:spacing w:after="0"/>
        <w:tabs>
          <w:tab w:leader="none" w:pos="9688" w:val="left"/>
        </w:tabs>
        <w:rPr>
          <w:sz w:val="20"/>
          <w:szCs w:val="20"/>
          <w:color w:val="auto"/>
        </w:rPr>
      </w:pPr>
      <w:r>
        <w:rPr>
          <w:rFonts w:ascii="Times New Roman" w:cs="Times New Roman" w:eastAsia="Times New Roman" w:hAnsi="Times New Roman"/>
          <w:sz w:val="15"/>
          <w:szCs w:val="15"/>
          <w:color w:val="auto"/>
        </w:rPr>
        <w:t>(b) payment of the principal of and interest on the Securities shall be made at the office or agency of the Company maintained for that purpose in [</w:t>
        <w:tab/>
        <w:t>] (which shall initially be</w:t>
      </w:r>
    </w:p>
    <w:p>
      <w:pPr>
        <w:spacing w:after="0" w:line="25" w:lineRule="exact"/>
        <w:rPr>
          <w:sz w:val="20"/>
          <w:szCs w:val="20"/>
          <w:color w:val="auto"/>
        </w:rPr>
      </w:pPr>
    </w:p>
    <w:p>
      <w:pPr>
        <w:jc w:val="both"/>
        <w:ind w:left="8" w:hanging="8"/>
        <w:spacing w:after="0" w:line="259" w:lineRule="auto"/>
        <w:tabs>
          <w:tab w:leader="none" w:pos="191"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the Paying Agent) in such coin or currency of the United States of America as at the time of payment is legal tender for payment of public and private debts;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at the option of the Company payment of interest may be made by check mailed to the address of the Person entitled thereto as such address appears in the register;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a Holder with an aggregate principal amount in excess of $[ ] will be paid by wire transfer in immediately available funds at the election of such Holder if such Holder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provided wire transfer instructions to the Company at least [ ] Business Days prior to the payment date.</w:t>
      </w:r>
    </w:p>
    <w:p>
      <w:pPr>
        <w:spacing w:after="0" w:line="1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firstLine="549"/>
        <w:spacing w:after="0" w:line="263" w:lineRule="auto"/>
        <w:rPr>
          <w:sz w:val="20"/>
          <w:szCs w:val="20"/>
          <w:color w:val="auto"/>
        </w:rPr>
      </w:pPr>
      <w:r>
        <w:rPr>
          <w:rFonts w:ascii="Times New Roman" w:cs="Times New Roman" w:eastAsia="Times New Roman" w:hAnsi="Times New Roman"/>
          <w:sz w:val="15"/>
          <w:szCs w:val="15"/>
          <w:color w:val="auto"/>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spacing w:after="0" w:line="154" w:lineRule="exact"/>
        <w:rPr>
          <w:sz w:val="20"/>
          <w:szCs w:val="20"/>
          <w:color w:val="auto"/>
        </w:rPr>
      </w:pPr>
    </w:p>
    <w:p>
      <w:pPr>
        <w:jc w:val="both"/>
        <w:ind w:left="8" w:firstLine="549"/>
        <w:spacing w:after="0" w:line="263" w:lineRule="auto"/>
        <w:rPr>
          <w:sz w:val="20"/>
          <w:szCs w:val="20"/>
          <w:color w:val="auto"/>
        </w:rPr>
      </w:pPr>
      <w:r>
        <w:rPr>
          <w:rFonts w:ascii="Times New Roman" w:cs="Times New Roman" w:eastAsia="Times New Roman" w:hAnsi="Times New Roman"/>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spacing w:after="0" w:line="3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color w:val="auto"/>
        </w:rPr>
        <w:t xml:space="preserve">SECTION 4.03. </w:t>
      </w:r>
      <w:r>
        <w:rPr>
          <w:rFonts w:ascii="Times New Roman" w:cs="Times New Roman" w:eastAsia="Times New Roman" w:hAnsi="Times New Roman"/>
          <w:sz w:val="15"/>
          <w:szCs w:val="15"/>
          <w:u w:val="single" w:color="auto"/>
          <w:color w:val="auto"/>
        </w:rPr>
        <w:t>Compliance Certificate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u w:val="single" w:color="auto"/>
          <w:color w:val="auto"/>
        </w:rPr>
        <w:t>Stay, Extension and Usury Laws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4.05. </w:t>
      </w:r>
      <w:r>
        <w:rPr>
          <w:rFonts w:ascii="Times New Roman" w:cs="Times New Roman" w:eastAsia="Times New Roman" w:hAnsi="Times New Roman"/>
          <w:sz w:val="15"/>
          <w:szCs w:val="15"/>
          <w:u w:val="single" w:color="auto"/>
          <w:color w:val="auto"/>
        </w:rPr>
        <w:t>Corporate Existence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4.06. </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Company shall, and shall cause each of its Subsidiaries to, pay prior to delinquency all taxes, assessments and governmental levies, except as contested in good faith and by appropriate proceedings.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4.07. </w:t>
      </w:r>
      <w:r>
        <w:rPr>
          <w:rFonts w:ascii="Times New Roman" w:cs="Times New Roman" w:eastAsia="Times New Roman" w:hAnsi="Times New Roman"/>
          <w:sz w:val="15"/>
          <w:szCs w:val="15"/>
          <w:u w:val="single" w:color="auto"/>
          <w:color w:val="auto"/>
        </w:rPr>
        <w:t>Additional Interest Notice</w:t>
      </w:r>
      <w:r>
        <w:rPr>
          <w:rFonts w:ascii="Times New Roman" w:cs="Times New Roman" w:eastAsia="Times New Roman" w:hAnsi="Times New Roman"/>
          <w:sz w:val="15"/>
          <w:szCs w:val="15"/>
          <w:i w:val="1"/>
          <w:iCs w:val="1"/>
          <w:color w:val="auto"/>
        </w:rPr>
        <w:t>.</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color w:val="auto"/>
        </w:rPr>
        <w:t xml:space="preserve">SECTION 4.08. </w:t>
      </w:r>
      <w:r>
        <w:rPr>
          <w:rFonts w:ascii="Times New Roman" w:cs="Times New Roman" w:eastAsia="Times New Roman" w:hAnsi="Times New Roman"/>
          <w:sz w:val="15"/>
          <w:szCs w:val="15"/>
          <w:u w:val="single" w:color="auto"/>
          <w:color w:val="auto"/>
        </w:rPr>
        <w:t>Further Instruments and Acts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Company will execute and deliver such further instruments and do such further acts as may be reasonably necessary or proper to carry out more effectively the purposes of this Indenture.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SUCCESSORS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u w:val="single" w:color="auto"/>
          <w:color w:val="auto"/>
        </w:rPr>
        <w:t>When Company May Merge,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spacing w:after="0" w:line="133" w:lineRule="exact"/>
        <w:rPr>
          <w:sz w:val="20"/>
          <w:szCs w:val="20"/>
          <w:color w:val="auto"/>
        </w:rPr>
      </w:pPr>
    </w:p>
    <w:p>
      <w:pPr>
        <w:jc w:val="both"/>
        <w:ind w:firstLine="541"/>
        <w:spacing w:after="0" w:line="272" w:lineRule="auto"/>
        <w:tabs>
          <w:tab w:leader="none" w:pos="769"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person (if any) is a corporation, partnership, trust or other entity organized and validly existing under the laws of the Nevada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shall have occurred and be continuing; and</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62"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u w:val="single" w:color="auto"/>
          <w:color w:val="auto"/>
        </w:rPr>
        <w:t>Successor Corporation Substituted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DEFAULTS AND REMEDIES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u w:val="single" w:color="auto"/>
          <w:color w:val="auto"/>
        </w:rPr>
        <w:t>Events of Default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33" w:lineRule="exact"/>
        <w:rPr>
          <w:sz w:val="20"/>
          <w:szCs w:val="20"/>
          <w:color w:val="auto"/>
        </w:rPr>
      </w:pPr>
    </w:p>
    <w:p>
      <w:pPr>
        <w:ind w:firstLine="541"/>
        <w:spacing w:after="0" w:line="290" w:lineRule="auto"/>
        <w:tabs>
          <w:tab w:leader="none" w:pos="762"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0" w:name="page101"/>
    <w:bookmarkEnd w:id="100"/>
    <w:p>
      <w:pPr>
        <w:ind w:left="760" w:hanging="219"/>
        <w:spacing w:after="0"/>
        <w:tabs>
          <w:tab w:leader="none" w:pos="7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principal of any Security of that Series at its Maturity; or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of any sinking fund payment, when and as due in respect of any Security of that Series; or</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66"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spacing w:after="0" w:line="146" w:lineRule="exact"/>
        <w:rPr>
          <w:rFonts w:ascii="Times New Roman" w:cs="Times New Roman" w:eastAsia="Times New Roman" w:hAnsi="Times New Roman"/>
          <w:sz w:val="15"/>
          <w:szCs w:val="15"/>
          <w:color w:val="auto"/>
        </w:rPr>
      </w:pPr>
    </w:p>
    <w:p>
      <w:pPr>
        <w:jc w:val="both"/>
        <w:ind w:firstLine="541"/>
        <w:spacing w:after="0" w:line="258" w:lineRule="auto"/>
        <w:tabs>
          <w:tab w:leader="none" w:pos="77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 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spacing w:after="0" w:line="341" w:lineRule="exact"/>
        <w:rPr>
          <w:rFonts w:ascii="Times New Roman" w:cs="Times New Roman" w:eastAsia="Times New Roman" w:hAnsi="Times New Roman"/>
          <w:sz w:val="15"/>
          <w:szCs w:val="15"/>
          <w:color w:val="auto"/>
        </w:rPr>
      </w:pPr>
    </w:p>
    <w:p>
      <w:pPr>
        <w:ind w:firstLine="541"/>
        <w:spacing w:after="0" w:line="290" w:lineRule="auto"/>
        <w:tabs>
          <w:tab w:leader="none" w:pos="742"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or any Subsidiary fails to pay one or more final and non-appealable judgments entered by a court or courts of competent jurisdiction, the aggregate uninsured or unbonded portion of which is in excess of $[ ], if the judgments are not paid, discharged, waived or stayed within [ ] days;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or any Subsidiary of the Company, pursuant to or within the meaning of any Bankruptcy Law:</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commences a voluntary case or proceeding;</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entry of an order for relief against it in an involuntary case or proceeding;</w:t>
      </w:r>
    </w:p>
    <w:p>
      <w:pPr>
        <w:spacing w:after="0" w:line="193" w:lineRule="exact"/>
        <w:rPr>
          <w:rFonts w:ascii="Times New Roman" w:cs="Times New Roman" w:eastAsia="Times New Roman" w:hAnsi="Times New Roman"/>
          <w:sz w:val="15"/>
          <w:szCs w:val="15"/>
          <w:color w:val="auto"/>
        </w:rPr>
      </w:pPr>
    </w:p>
    <w:p>
      <w:pPr>
        <w:ind w:left="1360" w:hanging="269"/>
        <w:spacing w:after="0"/>
        <w:tabs>
          <w:tab w:leader="none" w:pos="136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appointment of a Custodian of it or for all or substantially all of its property; or</w:t>
      </w:r>
    </w:p>
    <w:p>
      <w:pPr>
        <w:spacing w:after="0" w:line="193" w:lineRule="exact"/>
        <w:rPr>
          <w:rFonts w:ascii="Times New Roman" w:cs="Times New Roman" w:eastAsia="Times New Roman" w:hAnsi="Times New Roman"/>
          <w:sz w:val="15"/>
          <w:szCs w:val="15"/>
          <w:color w:val="auto"/>
        </w:rPr>
      </w:pPr>
    </w:p>
    <w:p>
      <w:pPr>
        <w:ind w:left="1340" w:hanging="249"/>
        <w:spacing w:after="0"/>
        <w:tabs>
          <w:tab w:leader="none" w:pos="134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makes a general assignment for the benefit of its creditors; or</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generally is unable to pay its debts as the same become due; or</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of competent jurisdiction enters an order or decree under any Bankruptcy Law that:</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for relief against the Company or any of its Subsidiaries in an involuntary case or proceeding;</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appoints a Custodian of the Company or any of its Subsidiaries for all or substantially all of the property of the Company or any such Subsidiary; or</w:t>
      </w:r>
    </w:p>
    <w:p>
      <w:pPr>
        <w:spacing w:after="0" w:line="193" w:lineRule="exact"/>
        <w:rPr>
          <w:rFonts w:ascii="Times New Roman" w:cs="Times New Roman" w:eastAsia="Times New Roman" w:hAnsi="Times New Roman"/>
          <w:sz w:val="15"/>
          <w:szCs w:val="15"/>
          <w:color w:val="auto"/>
        </w:rPr>
      </w:pPr>
    </w:p>
    <w:p>
      <w:pPr>
        <w:ind w:left="1360" w:hanging="269"/>
        <w:spacing w:after="0"/>
        <w:tabs>
          <w:tab w:leader="none" w:pos="1360" w:val="left"/>
        </w:tabs>
        <w:numPr>
          <w:ilvl w:val="1"/>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orders the liquidation of the Company or any of its Subsidiaries;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and the case of each of clause (i), (ii) and (iii), the order or decree remains unstayed and in effect for [ ] consecutive days; or</w:t>
      </w:r>
    </w:p>
    <w:p>
      <w:pPr>
        <w:spacing w:after="0" w:line="194" w:lineRule="exact"/>
        <w:rPr>
          <w:sz w:val="20"/>
          <w:szCs w:val="20"/>
          <w:color w:val="auto"/>
        </w:rPr>
      </w:pPr>
    </w:p>
    <w:p>
      <w:pPr>
        <w:ind w:firstLine="541"/>
        <w:spacing w:after="0" w:line="290" w:lineRule="auto"/>
        <w:tabs>
          <w:tab w:leader="none" w:pos="746"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Securities of that Series, which is specified in a Board Resolution, a supplemental indenture hereto or an Officers’ Certificate, in accordance with Section 2.02(i).</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1" w:name="page102"/>
    <w:bookmarkEnd w:id="101"/>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u w:val="single" w:color="auto"/>
          <w:color w:val="auto"/>
        </w:rPr>
        <w:t>Acceleration of Maturity; Rescission and Annulment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58" w:lineRule="auto"/>
        <w:tabs>
          <w:tab w:leader="none" w:pos="763"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spacing w:after="0" w:line="156" w:lineRule="exact"/>
        <w:rPr>
          <w:rFonts w:ascii="Times New Roman" w:cs="Times New Roman" w:eastAsia="Times New Roman" w:hAnsi="Times New Roman"/>
          <w:sz w:val="15"/>
          <w:szCs w:val="15"/>
          <w:color w:val="auto"/>
        </w:rPr>
      </w:pPr>
    </w:p>
    <w:p>
      <w:pPr>
        <w:jc w:val="both"/>
        <w:ind w:firstLine="541"/>
        <w:spacing w:after="0" w:line="259" w:lineRule="auto"/>
        <w:tabs>
          <w:tab w:leader="none" w:pos="781"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spacing w:after="0" w:line="34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u w:val="single" w:color="auto"/>
          <w:color w:val="auto"/>
        </w:rPr>
        <w:t>Collection of Indebtedness and Suits for Enforcement by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2" w:name="page103"/>
    <w:bookmarkEnd w:id="102"/>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6.04. </w:t>
      </w:r>
      <w:r>
        <w:rPr>
          <w:rFonts w:ascii="Times New Roman" w:cs="Times New Roman" w:eastAsia="Times New Roman" w:hAnsi="Times New Roman"/>
          <w:sz w:val="15"/>
          <w:szCs w:val="15"/>
          <w:u w:val="single" w:color="auto"/>
          <w:color w:val="auto"/>
        </w:rPr>
        <w:t>Trustee May File Proofs of Claim</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51" w:lineRule="exact"/>
        <w:rPr>
          <w:sz w:val="20"/>
          <w:szCs w:val="20"/>
          <w:color w:val="auto"/>
        </w:rPr>
      </w:pPr>
    </w:p>
    <w:p>
      <w:pPr>
        <w:jc w:val="both"/>
        <w:ind w:firstLine="541"/>
        <w:spacing w:after="0" w:line="272" w:lineRule="auto"/>
        <w:tabs>
          <w:tab w:leader="none" w:pos="76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6" w:lineRule="exact"/>
        <w:rPr>
          <w:rFonts w:ascii="Times New Roman" w:cs="Times New Roman" w:eastAsia="Times New Roman" w:hAnsi="Times New Roman"/>
          <w:sz w:val="15"/>
          <w:szCs w:val="15"/>
          <w:color w:val="auto"/>
        </w:rPr>
      </w:pPr>
    </w:p>
    <w:p>
      <w:pPr>
        <w:jc w:val="both"/>
        <w:ind w:firstLine="541"/>
        <w:spacing w:after="0" w:line="266" w:lineRule="auto"/>
        <w:tabs>
          <w:tab w:leader="none" w:pos="777"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spacing w:after="0" w:line="151"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6.05. </w:t>
      </w:r>
      <w:r>
        <w:rPr>
          <w:rFonts w:ascii="Times New Roman" w:cs="Times New Roman" w:eastAsia="Times New Roman" w:hAnsi="Times New Roman"/>
          <w:sz w:val="15"/>
          <w:szCs w:val="15"/>
          <w:u w:val="single" w:color="auto"/>
          <w:color w:val="auto"/>
        </w:rPr>
        <w:t>Trustee May Enforce Claims Without Possession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6.06. </w:t>
      </w:r>
      <w:r>
        <w:rPr>
          <w:rFonts w:ascii="Times New Roman" w:cs="Times New Roman" w:eastAsia="Times New Roman" w:hAnsi="Times New Roman"/>
          <w:sz w:val="15"/>
          <w:szCs w:val="15"/>
          <w:u w:val="single" w:color="auto"/>
          <w:color w:val="auto"/>
        </w:rPr>
        <w:t>Application of Money Collected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To the payment of all amounts due the Trustee under Section 7.07;</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the payment of the amounts then due and unpaid for principal of and interest on the Securities in respect of which or for the benefit of which such money has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collected, ratably, without preference or priority of any kind, according to the amounts due and payable on such Securities for principal and interest, respectively; and</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To the Company.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color w:val="auto"/>
        </w:rPr>
        <w:t xml:space="preserve">SECTION 6.07. </w:t>
      </w:r>
      <w:r>
        <w:rPr>
          <w:rFonts w:ascii="Times New Roman" w:cs="Times New Roman" w:eastAsia="Times New Roman" w:hAnsi="Times New Roman"/>
          <w:sz w:val="15"/>
          <w:szCs w:val="15"/>
          <w:u w:val="single" w:color="auto"/>
          <w:color w:val="auto"/>
        </w:rPr>
        <w:t>Limitation on Suits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spacing w:after="0" w:line="133" w:lineRule="exact"/>
        <w:rPr>
          <w:sz w:val="20"/>
          <w:szCs w:val="20"/>
          <w:color w:val="auto"/>
        </w:rPr>
      </w:pPr>
    </w:p>
    <w:p>
      <w:pPr>
        <w:ind w:left="740" w:hanging="199"/>
        <w:spacing w:after="0"/>
        <w:tabs>
          <w:tab w:leader="none" w:pos="7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written notice to the Trustee of a continuing Event of Default with respect to the Securities of that Series;</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71"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 ]% in principal amount of the outstanding Securities of that Series shall have made written request to the Trustee to institute proceedings in respect of such Event of Default in its own name as Trustee hereunder;</w:t>
      </w:r>
    </w:p>
    <w:p>
      <w:pPr>
        <w:spacing w:after="0" w:line="132"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indemnity satisfactory to it against the costs, expenses and liabilities to be incurred in compliance with such request;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for [ ] days after its receipt of such notice, request and offer of indemnity has failed to institute any such proceeding; and</w:t>
      </w:r>
    </w:p>
    <w:p>
      <w:pPr>
        <w:spacing w:after="0" w:line="193" w:lineRule="exact"/>
        <w:rPr>
          <w:rFonts w:ascii="Times New Roman" w:cs="Times New Roman" w:eastAsia="Times New Roman" w:hAnsi="Times New Roman"/>
          <w:sz w:val="15"/>
          <w:szCs w:val="15"/>
          <w:color w:val="auto"/>
        </w:rPr>
      </w:pPr>
    </w:p>
    <w:p>
      <w:pPr>
        <w:jc w:val="both"/>
        <w:ind w:firstLine="541"/>
        <w:spacing w:after="0" w:line="266" w:lineRule="auto"/>
        <w:tabs>
          <w:tab w:leader="none" w:pos="775"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6.08. </w:t>
      </w:r>
      <w:r>
        <w:rPr>
          <w:rFonts w:ascii="Times New Roman" w:cs="Times New Roman" w:eastAsia="Times New Roman" w:hAnsi="Times New Roman"/>
          <w:sz w:val="15"/>
          <w:szCs w:val="15"/>
          <w:u w:val="single" w:color="auto"/>
          <w:color w:val="auto"/>
        </w:rPr>
        <w:t>Unconditional Right of Holders to Receive Principal and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6.09. </w:t>
      </w:r>
      <w:r>
        <w:rPr>
          <w:rFonts w:ascii="Times New Roman" w:cs="Times New Roman" w:eastAsia="Times New Roman" w:hAnsi="Times New Roman"/>
          <w:sz w:val="15"/>
          <w:szCs w:val="15"/>
          <w:u w:val="single" w:color="auto"/>
          <w:color w:val="auto"/>
        </w:rPr>
        <w:t>Restoration of Rights and Remedies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6.10. </w:t>
      </w:r>
      <w:r>
        <w:rPr>
          <w:rFonts w:ascii="Times New Roman" w:cs="Times New Roman" w:eastAsia="Times New Roman" w:hAnsi="Times New Roman"/>
          <w:sz w:val="15"/>
          <w:szCs w:val="15"/>
          <w:u w:val="single" w:color="auto"/>
          <w:color w:val="auto"/>
        </w:rPr>
        <w:t>Rights and Remedies Cumulative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Delay or Omission Not Waiver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Control by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3" w:lineRule="exact"/>
        <w:rPr>
          <w:sz w:val="20"/>
          <w:szCs w:val="20"/>
          <w:color w:val="auto"/>
        </w:rPr>
      </w:pPr>
    </w:p>
    <w:p>
      <w:pPr>
        <w:ind w:left="740" w:hanging="199"/>
        <w:spacing w:after="0"/>
        <w:tabs>
          <w:tab w:leader="none" w:pos="7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shall not be in conflict with any rule of law or with this Indenture,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take any other action deemed proper by the Trustee which is not inconsistent with such direction; and</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6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6.13. </w:t>
      </w:r>
      <w:r>
        <w:rPr>
          <w:rFonts w:ascii="Times New Roman" w:cs="Times New Roman" w:eastAsia="Times New Roman" w:hAnsi="Times New Roman"/>
          <w:sz w:val="15"/>
          <w:szCs w:val="15"/>
          <w:u w:val="single" w:color="auto"/>
          <w:color w:val="auto"/>
        </w:rPr>
        <w:t>Waiver of Past Defaults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6.14. </w:t>
      </w:r>
      <w:r>
        <w:rPr>
          <w:rFonts w:ascii="Times New Roman" w:cs="Times New Roman" w:eastAsia="Times New Roman" w:hAnsi="Times New Roman"/>
          <w:sz w:val="15"/>
          <w:szCs w:val="15"/>
          <w:u w:val="single" w:color="auto"/>
          <w:color w:val="auto"/>
        </w:rPr>
        <w:t>Undertaking for Costs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TRUSTEE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u w:val="single" w:color="auto"/>
          <w:color w:val="auto"/>
        </w:rPr>
        <w:t>Duties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541"/>
        <w:spacing w:after="0" w:line="290" w:lineRule="auto"/>
        <w:tabs>
          <w:tab w:leader="none" w:pos="766"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during the continuance of an Event of Default:</w:t>
      </w:r>
    </w:p>
    <w:p>
      <w:pPr>
        <w:spacing w:after="0" w:line="193" w:lineRule="exact"/>
        <w:rPr>
          <w:rFonts w:ascii="Times New Roman" w:cs="Times New Roman" w:eastAsia="Times New Roman" w:hAnsi="Times New Roman"/>
          <w:sz w:val="15"/>
          <w:szCs w:val="15"/>
          <w:color w:val="auto"/>
        </w:rPr>
      </w:pPr>
    </w:p>
    <w:p>
      <w:pPr>
        <w:ind w:left="540" w:right="20" w:firstLine="551"/>
        <w:spacing w:after="0" w:line="290" w:lineRule="auto"/>
        <w:tabs>
          <w:tab w:leader="none" w:pos="1278"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need perform only those duties that are specifically set forth in this Indenture and no implied duties, covenants or obligations shall be deemed to be imposed upon the Trustee.</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6" w:lineRule="auto"/>
        <w:tabs>
          <w:tab w:leader="none" w:pos="1324" w:val="left"/>
        </w:tabs>
        <w:numPr>
          <w:ilvl w:val="1"/>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5" w:name="page106"/>
    <w:bookmarkEnd w:id="105"/>
    <w:p>
      <w:pPr>
        <w:ind w:left="740" w:hanging="199"/>
        <w:spacing w:after="0"/>
        <w:tabs>
          <w:tab w:leader="none" w:pos="7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not be relieved from liability for its own its own negligent action, its own negligent failure to act or willful misconduct, except that:</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paragraph does not limit the effect of paragraph (b) of Section 7.01 herein.</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error of judgment made in good faith by a Responsible Officer.</w:t>
      </w:r>
    </w:p>
    <w:p>
      <w:pPr>
        <w:spacing w:after="0" w:line="193" w:lineRule="exact"/>
        <w:rPr>
          <w:rFonts w:ascii="Times New Roman" w:cs="Times New Roman" w:eastAsia="Times New Roman" w:hAnsi="Times New Roman"/>
          <w:sz w:val="15"/>
          <w:szCs w:val="15"/>
          <w:color w:val="auto"/>
        </w:rPr>
      </w:pPr>
    </w:p>
    <w:p>
      <w:pPr>
        <w:jc w:val="both"/>
        <w:ind w:left="540" w:firstLine="551"/>
        <w:spacing w:after="0" w:line="266" w:lineRule="auto"/>
        <w:tabs>
          <w:tab w:leader="none" w:pos="137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provision of this Indenture that in any way relates to the Trustee is subject to paragraph (a), (b) and (c) of this Section.</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refuse to perform any duty or exercise any right or power unless it receives an indemnity satisfactory to it against any loss, liability or expense.</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71"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Paying Agent, the Registrar and any authenticating agent shall be entitled to the same rights, indemnities, protections and immunities afforded to the Trustee.</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36"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7.02. </w:t>
      </w:r>
      <w:r>
        <w:rPr>
          <w:rFonts w:ascii="Times New Roman" w:cs="Times New Roman" w:eastAsia="Times New Roman" w:hAnsi="Times New Roman"/>
          <w:sz w:val="15"/>
          <w:szCs w:val="15"/>
          <w:u w:val="single" w:color="auto"/>
          <w:color w:val="auto"/>
        </w:rPr>
        <w:t>Rights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66" w:lineRule="auto"/>
        <w:tabs>
          <w:tab w:leader="none" w:pos="772"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spacing w:after="0" w:line="151" w:lineRule="exact"/>
        <w:rPr>
          <w:rFonts w:ascii="Times New Roman" w:cs="Times New Roman" w:eastAsia="Times New Roman" w:hAnsi="Times New Roman"/>
          <w:sz w:val="15"/>
          <w:szCs w:val="15"/>
          <w:color w:val="auto"/>
        </w:rPr>
      </w:pPr>
    </w:p>
    <w:p>
      <w:pPr>
        <w:ind w:firstLine="541"/>
        <w:spacing w:after="0" w:line="290" w:lineRule="auto"/>
        <w:tabs>
          <w:tab w:leader="none" w:pos="774"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69"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action it takes or omits to take in good faith which it believes to be authorized or within its rights or powers.</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62"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46"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5"/>
          <w:szCs w:val="15"/>
          <w:color w:val="auto"/>
        </w:rPr>
        <w:t xml:space="preserve">SECTION 7.03. </w:t>
      </w:r>
      <w:r>
        <w:rPr>
          <w:rFonts w:ascii="Times New Roman" w:cs="Times New Roman" w:eastAsia="Times New Roman" w:hAnsi="Times New Roman"/>
          <w:sz w:val="15"/>
          <w:szCs w:val="15"/>
          <w:u w:val="single" w:color="auto"/>
          <w:color w:val="auto"/>
        </w:rPr>
        <w:t>Individual Rights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7.04. </w:t>
      </w:r>
      <w:r>
        <w:rPr>
          <w:rFonts w:ascii="Times New Roman" w:cs="Times New Roman" w:eastAsia="Times New Roman" w:hAnsi="Times New Roman"/>
          <w:sz w:val="15"/>
          <w:szCs w:val="15"/>
          <w:u w:val="single" w:color="auto"/>
          <w:color w:val="auto"/>
        </w:rPr>
        <w:t>Trustee’s Disclaimer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7.05. </w:t>
      </w:r>
      <w:r>
        <w:rPr>
          <w:rFonts w:ascii="Times New Roman" w:cs="Times New Roman" w:eastAsia="Times New Roman" w:hAnsi="Times New Roman"/>
          <w:sz w:val="15"/>
          <w:szCs w:val="15"/>
          <w:u w:val="single" w:color="auto"/>
          <w:color w:val="auto"/>
        </w:rPr>
        <w:t>Notice of Defaults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7.06. </w:t>
      </w:r>
      <w:r>
        <w:rPr>
          <w:rFonts w:ascii="Times New Roman" w:cs="Times New Roman" w:eastAsia="Times New Roman" w:hAnsi="Times New Roman"/>
          <w:sz w:val="15"/>
          <w:szCs w:val="15"/>
          <w:u w:val="single" w:color="auto"/>
          <w:color w:val="auto"/>
        </w:rPr>
        <w:t>Reports by Trustee to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Within [ ] days after [ ] in each year, the Trustee shall transmit by mail to all Securityholders, as their names and addresses appear on the register kept by the Registrar, a brief report dated as of such [ ], in accordance with, and to the extent required under, TIA Section 313.</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7.07. </w:t>
      </w:r>
      <w:r>
        <w:rPr>
          <w:rFonts w:ascii="Times New Roman" w:cs="Times New Roman" w:eastAsia="Times New Roman" w:hAnsi="Times New Roman"/>
          <w:sz w:val="15"/>
          <w:szCs w:val="15"/>
          <w:u w:val="single" w:color="auto"/>
          <w:color w:val="auto"/>
        </w:rPr>
        <w:t>Compensation and Indemnity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spacing w:after="0" w:line="146"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7" w:name="page108"/>
    <w:bookmarkEnd w:id="107"/>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Company need not reimburse any expense or indemnify against any loss liability incurred by the Trustee or by any officer, director, employee, shareholder or agent of the Trustee through negligence or bad faith.</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When the Trustee incurs expenses or renders services after an Event of Default specified in Section 6.01(f) or (g) occurs, the expenses and the compensation for the services are intended to constitute expenses of administration under any Bankruptcy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7.08. </w:t>
      </w:r>
      <w:r>
        <w:rPr>
          <w:rFonts w:ascii="Times New Roman" w:cs="Times New Roman" w:eastAsia="Times New Roman" w:hAnsi="Times New Roman"/>
          <w:sz w:val="15"/>
          <w:szCs w:val="15"/>
          <w:u w:val="single" w:color="auto"/>
          <w:color w:val="auto"/>
        </w:rPr>
        <w:t>Replacement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 resignation or removal of the Trustee and appointment of a successor Trustee shall become effective only upon the successor Trustee’s acceptance of appointment as provided in this Section.</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6" w:lineRule="exact"/>
        <w:rPr>
          <w:sz w:val="20"/>
          <w:szCs w:val="20"/>
          <w:color w:val="auto"/>
        </w:rPr>
      </w:pPr>
    </w:p>
    <w:p>
      <w:pPr>
        <w:ind w:left="740" w:hanging="199"/>
        <w:spacing w:after="0"/>
        <w:tabs>
          <w:tab w:leader="none" w:pos="7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fails to comply with Section 7.10;</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is adjudged a bankrupt or an insolvent or an order for relief is entered with respect to the Trustee under any Bankruptcy Law;</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Custodian or public officer takes charge of the Trustee or its property; or</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becomes incapable of acting.</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7.09. </w:t>
      </w:r>
      <w:r>
        <w:rPr>
          <w:rFonts w:ascii="Times New Roman" w:cs="Times New Roman" w:eastAsia="Times New Roman" w:hAnsi="Times New Roman"/>
          <w:sz w:val="15"/>
          <w:szCs w:val="15"/>
          <w:u w:val="single" w:color="auto"/>
          <w:color w:val="auto"/>
        </w:rPr>
        <w:t>Successor Trustee by Merger,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5"/>
          <w:szCs w:val="15"/>
          <w:color w:val="auto"/>
        </w:rPr>
        <w:t xml:space="preserve">SECTION 7.10. </w:t>
      </w:r>
      <w:r>
        <w:rPr>
          <w:rFonts w:ascii="Times New Roman" w:cs="Times New Roman" w:eastAsia="Times New Roman" w:hAnsi="Times New Roman"/>
          <w:sz w:val="15"/>
          <w:szCs w:val="15"/>
          <w:u w:val="single" w:color="auto"/>
          <w:color w:val="auto"/>
        </w:rPr>
        <w:t>Eligibility; Disqualification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7.11. </w:t>
      </w:r>
      <w:r>
        <w:rPr>
          <w:rFonts w:ascii="Times New Roman" w:cs="Times New Roman" w:eastAsia="Times New Roman" w:hAnsi="Times New Roman"/>
          <w:sz w:val="15"/>
          <w:szCs w:val="15"/>
          <w:u w:val="single" w:color="auto"/>
          <w:color w:val="auto"/>
        </w:rPr>
        <w:t>Preferential Collection of Claims Against Company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Trustee is subject to TIA Section 311(a), excluding any creditor relationship listed in TIA Section 311(b). A Trustee who has resigned or been removed shall be subject to TTA Section 311(a) to the extent indicated.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SATISFACTION AND DISCHARGE; DEFEASANCE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u w:val="single" w:color="auto"/>
          <w:color w:val="auto"/>
        </w:rPr>
        <w:t>Satisfaction and Discharge of Indenture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spacing w:after="0" w:line="133" w:lineRule="exact"/>
        <w:rPr>
          <w:sz w:val="20"/>
          <w:szCs w:val="20"/>
          <w:color w:val="auto"/>
        </w:rPr>
      </w:pPr>
    </w:p>
    <w:p>
      <w:pPr>
        <w:ind w:left="740" w:hanging="199"/>
        <w:spacing w:after="0"/>
        <w:tabs>
          <w:tab w:leader="none" w:pos="74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193" w:lineRule="exact"/>
        <w:rPr>
          <w:rFonts w:ascii="Times New Roman" w:cs="Times New Roman" w:eastAsia="Times New Roman" w:hAnsi="Times New Roman"/>
          <w:sz w:val="15"/>
          <w:szCs w:val="15"/>
          <w:color w:val="auto"/>
        </w:rPr>
      </w:pPr>
    </w:p>
    <w:p>
      <w:pPr>
        <w:ind w:left="540" w:firstLine="551"/>
        <w:spacing w:after="0" w:line="290" w:lineRule="auto"/>
        <w:tabs>
          <w:tab w:leader="none" w:pos="1276"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theretofore authenticated and delivered (other than Securities that have been destroyed, lost or stolen and that have been replaced or paid) have been delivered to the Trustee for cancellation; or</w:t>
      </w:r>
    </w:p>
    <w:p>
      <w:pPr>
        <w:spacing w:after="0" w:line="132"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not theretofore delivered to the Trustee for cancellation have become due and payable, or</w:t>
      </w:r>
    </w:p>
    <w:p>
      <w:pPr>
        <w:spacing w:after="0" w:line="1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(1) have become due and payable, or</w:t>
      </w:r>
    </w:p>
    <w:p>
      <w:pPr>
        <w:spacing w:after="0" w:line="1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5"/>
          <w:szCs w:val="15"/>
          <w:color w:val="auto"/>
        </w:rPr>
        <w:t>(2) will become due and payable at their Stated Maturity within [  ], or</w:t>
      </w:r>
    </w:p>
    <w:p>
      <w:pPr>
        <w:spacing w:after="0" w:line="194" w:lineRule="exact"/>
        <w:rPr>
          <w:sz w:val="20"/>
          <w:szCs w:val="20"/>
          <w:color w:val="auto"/>
        </w:rPr>
      </w:pPr>
    </w:p>
    <w:p>
      <w:pPr>
        <w:ind w:left="1100" w:right="20" w:firstLine="540"/>
        <w:spacing w:after="0" w:line="290" w:lineRule="auto"/>
        <w:tabs>
          <w:tab w:leader="none" w:pos="1877" w:val="left"/>
        </w:tabs>
        <w:numPr>
          <w:ilvl w:val="1"/>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to be called for redemption within [ ] under arrangements satisfactory to the Trustee for the giving of notice of redemption by the Trustee in the name, and at the expense, of the Company, or</w:t>
      </w:r>
    </w:p>
    <w:p>
      <w:pPr>
        <w:spacing w:after="0" w:line="132" w:lineRule="exact"/>
        <w:rPr>
          <w:rFonts w:ascii="Times New Roman" w:cs="Times New Roman" w:eastAsia="Times New Roman" w:hAnsi="Times New Roman"/>
          <w:sz w:val="15"/>
          <w:szCs w:val="15"/>
          <w:color w:val="auto"/>
        </w:rPr>
      </w:pPr>
    </w:p>
    <w:p>
      <w:pPr>
        <w:jc w:val="both"/>
        <w:ind w:left="1100" w:firstLine="540"/>
        <w:spacing w:after="0" w:line="266" w:lineRule="auto"/>
        <w:tabs>
          <w:tab w:leader="none" w:pos="1870" w:val="left"/>
        </w:tabs>
        <w:numPr>
          <w:ilvl w:val="1"/>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caused to be paid all other sums payable hereunder by the Company; and</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65"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spacing w:after="0" w:line="146"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color w:val="auto"/>
        </w:rPr>
        <w:t xml:space="preserve">SECTION 8.02. </w:t>
      </w:r>
      <w:r>
        <w:rPr>
          <w:rFonts w:ascii="Times New Roman" w:cs="Times New Roman" w:eastAsia="Times New Roman" w:hAnsi="Times New Roman"/>
          <w:sz w:val="15"/>
          <w:szCs w:val="15"/>
          <w:u w:val="single" w:color="auto"/>
          <w:color w:val="auto"/>
        </w:rPr>
        <w:t>Application of Trust Funds; Indemnification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61" w:lineRule="auto"/>
        <w:tabs>
          <w:tab w:leader="none" w:pos="785"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spacing w:after="0" w:line="156" w:lineRule="exact"/>
        <w:rPr>
          <w:rFonts w:ascii="Times New Roman" w:cs="Times New Roman" w:eastAsia="Times New Roman" w:hAnsi="Times New Roman"/>
          <w:sz w:val="15"/>
          <w:szCs w:val="15"/>
          <w:color w:val="auto"/>
        </w:rPr>
      </w:pPr>
    </w:p>
    <w:p>
      <w:pPr>
        <w:jc w:val="both"/>
        <w:ind w:firstLine="541"/>
        <w:spacing w:after="0" w:line="272" w:lineRule="auto"/>
        <w:tabs>
          <w:tab w:leader="none" w:pos="771"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46" w:lineRule="exact"/>
        <w:rPr>
          <w:rFonts w:ascii="Times New Roman" w:cs="Times New Roman" w:eastAsia="Times New Roman" w:hAnsi="Times New Roman"/>
          <w:sz w:val="15"/>
          <w:szCs w:val="15"/>
          <w:color w:val="auto"/>
        </w:rPr>
      </w:pPr>
    </w:p>
    <w:p>
      <w:pPr>
        <w:jc w:val="both"/>
        <w:ind w:firstLine="541"/>
        <w:spacing w:after="0" w:line="261" w:lineRule="auto"/>
        <w:tabs>
          <w:tab w:leader="none" w:pos="771"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8.03. </w:t>
      </w:r>
      <w:r>
        <w:rPr>
          <w:rFonts w:ascii="Times New Roman" w:cs="Times New Roman" w:eastAsia="Times New Roman" w:hAnsi="Times New Roman"/>
          <w:sz w:val="15"/>
          <w:szCs w:val="15"/>
          <w:u w:val="single" w:color="auto"/>
          <w:color w:val="auto"/>
        </w:rPr>
        <w:t>Legal Defeasance of Securities of any Series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1" w:lineRule="exact"/>
        <w:rPr>
          <w:sz w:val="20"/>
          <w:szCs w:val="20"/>
          <w:color w:val="auto"/>
        </w:rPr>
      </w:pPr>
    </w:p>
    <w:p>
      <w:pPr>
        <w:jc w:val="both"/>
        <w:ind w:firstLine="541"/>
        <w:spacing w:after="0" w:line="266" w:lineRule="auto"/>
        <w:tabs>
          <w:tab w:leader="none" w:pos="761"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Sections 2.04, 2.07, 2.08, 2.14, 8.02, 8.03 and 8.05; and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 and immunities of the Trustee hereunder; provided that, the following conditions shall have been satisfied:</w:t>
      </w:r>
    </w:p>
    <w:p>
      <w:pPr>
        <w:spacing w:after="0" w:line="193" w:lineRule="exact"/>
        <w:rPr>
          <w:rFonts w:ascii="Times New Roman" w:cs="Times New Roman" w:eastAsia="Times New Roman" w:hAnsi="Times New Roman"/>
          <w:sz w:val="15"/>
          <w:szCs w:val="15"/>
          <w:color w:val="auto"/>
        </w:rPr>
      </w:pPr>
    </w:p>
    <w:p>
      <w:pPr>
        <w:jc w:val="both"/>
        <w:ind w:firstLine="541"/>
        <w:spacing w:after="0" w:line="260" w:lineRule="auto"/>
        <w:tabs>
          <w:tab w:leader="none" w:pos="773"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w:t>
      </w:r>
    </w:p>
    <w:p>
      <w:pPr>
        <w:jc w:val="both"/>
        <w:spacing w:after="0" w:line="259" w:lineRule="auto"/>
        <w:rPr>
          <w:sz w:val="20"/>
          <w:szCs w:val="20"/>
          <w:color w:val="auto"/>
        </w:rPr>
      </w:pPr>
      <w:r>
        <w:rPr>
          <w:rFonts w:ascii="Times New Roman" w:cs="Times New Roman" w:eastAsia="Times New Roman" w:hAnsi="Times New Roman"/>
          <w:sz w:val="15"/>
          <w:szCs w:val="15"/>
          <w:color w:val="auto"/>
        </w:rPr>
        <w:t>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0" w:name="page111"/>
    <w:bookmarkEnd w:id="110"/>
    <w:p>
      <w:pPr>
        <w:ind w:firstLine="541"/>
        <w:spacing w:after="0" w:line="290" w:lineRule="auto"/>
        <w:tabs>
          <w:tab w:leader="none" w:pos="75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41"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 ] day after such date;</w:t>
      </w:r>
    </w:p>
    <w:p>
      <w:pPr>
        <w:spacing w:after="0" w:line="132" w:lineRule="exact"/>
        <w:rPr>
          <w:rFonts w:ascii="Times New Roman" w:cs="Times New Roman" w:eastAsia="Times New Roman" w:hAnsi="Times New Roman"/>
          <w:sz w:val="15"/>
          <w:szCs w:val="15"/>
          <w:color w:val="auto"/>
        </w:rPr>
      </w:pPr>
    </w:p>
    <w:p>
      <w:pPr>
        <w:jc w:val="both"/>
        <w:ind w:firstLine="541"/>
        <w:spacing w:after="0" w:line="263" w:lineRule="auto"/>
        <w:tabs>
          <w:tab w:leader="none" w:pos="76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3" w:lineRule="exact"/>
        <w:rPr>
          <w:rFonts w:ascii="Times New Roman" w:cs="Times New Roman" w:eastAsia="Times New Roman" w:hAnsi="Times New Roman"/>
          <w:sz w:val="15"/>
          <w:szCs w:val="15"/>
          <w:color w:val="auto"/>
        </w:rPr>
      </w:pPr>
    </w:p>
    <w:p>
      <w:pPr>
        <w:ind w:firstLine="541"/>
        <w:spacing w:after="0" w:line="290" w:lineRule="auto"/>
        <w:tabs>
          <w:tab w:leader="none" w:pos="76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34"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shall not result in the trust arising from such deposit constituting an investment company (as defined in the Investment Company Act of 1940, as amended), or such trust shall be qualified under such Act or exempt from regulation thereunder; and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39"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8.04. </w:t>
      </w:r>
      <w:r>
        <w:rPr>
          <w:rFonts w:ascii="Times New Roman" w:cs="Times New Roman" w:eastAsia="Times New Roman" w:hAnsi="Times New Roman"/>
          <w:sz w:val="15"/>
          <w:szCs w:val="15"/>
          <w:u w:val="single" w:color="auto"/>
          <w:color w:val="auto"/>
        </w:rPr>
        <w:t>Covenant Defeasance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spacing w:after="0" w:line="341" w:lineRule="exact"/>
        <w:rPr>
          <w:sz w:val="20"/>
          <w:szCs w:val="20"/>
          <w:color w:val="auto"/>
        </w:rPr>
      </w:pPr>
    </w:p>
    <w:p>
      <w:pPr>
        <w:jc w:val="both"/>
        <w:ind w:firstLine="541"/>
        <w:spacing w:after="0" w:line="260" w:lineRule="auto"/>
        <w:tabs>
          <w:tab w:leader="none" w:pos="75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w:t>
      </w:r>
    </w:p>
    <w:p>
      <w:pPr>
        <w:jc w:val="both"/>
        <w:spacing w:after="0" w:line="259" w:lineRule="auto"/>
        <w:rPr>
          <w:sz w:val="20"/>
          <w:szCs w:val="20"/>
          <w:color w:val="auto"/>
        </w:rPr>
      </w:pPr>
      <w:r>
        <w:rPr>
          <w:rFonts w:ascii="Times New Roman" w:cs="Times New Roman" w:eastAsia="Times New Roman" w:hAnsi="Times New Roman"/>
          <w:sz w:val="15"/>
          <w:szCs w:val="15"/>
          <w:color w:val="auto"/>
        </w:rPr>
        <w:t>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spacing w:after="0" w:line="156" w:lineRule="exact"/>
        <w:rPr>
          <w:sz w:val="20"/>
          <w:szCs w:val="20"/>
          <w:color w:val="auto"/>
        </w:rPr>
      </w:pPr>
    </w:p>
    <w:p>
      <w:pPr>
        <w:ind w:right="20" w:firstLine="541"/>
        <w:spacing w:after="0" w:line="290" w:lineRule="auto"/>
        <w:tabs>
          <w:tab w:leader="none" w:pos="766"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63"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 ] day after such date;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1" w:name="page112"/>
    <w:bookmarkEnd w:id="111"/>
    <w:p>
      <w:pPr>
        <w:jc w:val="both"/>
        <w:ind w:right="20" w:firstLine="541"/>
        <w:spacing w:after="0" w:line="272" w:lineRule="auto"/>
        <w:tabs>
          <w:tab w:leader="none" w:pos="769"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46" w:lineRule="exact"/>
        <w:rPr>
          <w:rFonts w:ascii="Times New Roman" w:cs="Times New Roman" w:eastAsia="Times New Roman" w:hAnsi="Times New Roman"/>
          <w:sz w:val="15"/>
          <w:szCs w:val="15"/>
          <w:color w:val="auto"/>
        </w:rPr>
      </w:pPr>
    </w:p>
    <w:p>
      <w:pPr>
        <w:ind w:right="20" w:firstLine="541"/>
        <w:spacing w:after="0" w:line="290" w:lineRule="auto"/>
        <w:tabs>
          <w:tab w:leader="none" w:pos="763"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44"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herein provided for relating to the defeasance contemplated by this Section have been complied with.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8.05. </w:t>
      </w:r>
      <w:r>
        <w:rPr>
          <w:rFonts w:ascii="Times New Roman" w:cs="Times New Roman" w:eastAsia="Times New Roman" w:hAnsi="Times New Roman"/>
          <w:sz w:val="15"/>
          <w:szCs w:val="15"/>
          <w:u w:val="single" w:color="auto"/>
          <w:color w:val="auto"/>
        </w:rPr>
        <w:t>Repayment to Company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AMENDMENTS AND WAIVERS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u w:val="single" w:color="auto"/>
          <w:color w:val="auto"/>
        </w:rPr>
        <w:t>Without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and the Trustee may amend or supplement this Indenture or the Securities of one or more Series without the consent of any Securityholder:</w:t>
      </w:r>
    </w:p>
    <w:p>
      <w:pPr>
        <w:spacing w:after="0" w:line="194" w:lineRule="exact"/>
        <w:rPr>
          <w:sz w:val="20"/>
          <w:szCs w:val="20"/>
          <w:color w:val="auto"/>
        </w:rPr>
      </w:pPr>
    </w:p>
    <w:p>
      <w:pPr>
        <w:ind w:left="740" w:hanging="199"/>
        <w:spacing w:after="0"/>
        <w:tabs>
          <w:tab w:leader="none" w:pos="7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Article V;</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Securityholder;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Securities of any Series as permitted by this Indenture;</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TIA and any rules promulgated under the TIA; and</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of the Company for the equal and ratable benefit of the Holders or to surrender any right, power or option conferred upon the Company.</w:t>
      </w:r>
    </w:p>
    <w:p>
      <w:pPr>
        <w:spacing w:after="0" w:line="194"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color w:val="auto"/>
        </w:rPr>
        <w:t xml:space="preserve">SECTION 9.02. </w:t>
      </w:r>
      <w:r>
        <w:rPr>
          <w:rFonts w:ascii="Times New Roman" w:cs="Times New Roman" w:eastAsia="Times New Roman" w:hAnsi="Times New Roman"/>
          <w:sz w:val="15"/>
          <w:szCs w:val="15"/>
          <w:u w:val="single" w:color="auto"/>
          <w:color w:val="auto"/>
        </w:rPr>
        <w:t>With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9.03. </w:t>
      </w:r>
      <w:r>
        <w:rPr>
          <w:rFonts w:ascii="Times New Roman" w:cs="Times New Roman" w:eastAsia="Times New Roman" w:hAnsi="Times New Roman"/>
          <w:sz w:val="15"/>
          <w:szCs w:val="15"/>
          <w:u w:val="single" w:color="auto"/>
          <w:color w:val="auto"/>
        </w:rPr>
        <w:t>Limitations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Without the consent of each Securityholder affected, an amendment or waiver may not:</w:t>
      </w:r>
    </w:p>
    <w:p>
      <w:pPr>
        <w:spacing w:after="0" w:line="194" w:lineRule="exact"/>
        <w:rPr>
          <w:sz w:val="20"/>
          <w:szCs w:val="20"/>
          <w:color w:val="auto"/>
        </w:rPr>
      </w:pPr>
    </w:p>
    <w:p>
      <w:pPr>
        <w:ind w:firstLine="541"/>
        <w:spacing w:after="0" w:line="290" w:lineRule="auto"/>
        <w:tabs>
          <w:tab w:leader="none" w:pos="776"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interest, or change the interest payment time, on any Security;</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5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or change the Stated Maturity of any Security or reduce the amount of, or postpone the date fixed for, the payment of any sinking fund or analogous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w:t>
      </w:r>
    </w:p>
    <w:p>
      <w:pPr>
        <w:spacing w:after="0" w:line="179"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payable of any Security upon Maturity;</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4"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place or currency of payment of principal of or interest, if any, on any Security other than that stated in the Security;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any Holder to receive payment of principal or, or interest on, the Securities of such Holder on or after the due dates therefor;</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to institute suit for the enforcement of any payment on, or with respect to, any Security;</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Sections 10.15 or 10.16;</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ranking of the Securities; 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3" w:name="page114"/>
    <w:bookmarkEnd w:id="113"/>
    <w:p>
      <w:pPr>
        <w:ind w:left="540" w:right="880" w:firstLine="1"/>
        <w:spacing w:after="0" w:line="509" w:lineRule="auto"/>
        <w:tabs>
          <w:tab w:leader="none" w:pos="722"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other change which is specified in a Board Resolution, a supplemental indenture hereto or an Officers’ Certificate as a limitation under this Section. For the avoidance of doubt, any amendment or waiver shall always be subject to the consent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9.04. </w:t>
      </w:r>
      <w:r>
        <w:rPr>
          <w:rFonts w:ascii="Times New Roman" w:cs="Times New Roman" w:eastAsia="Times New Roman" w:hAnsi="Times New Roman"/>
          <w:sz w:val="15"/>
          <w:szCs w:val="15"/>
          <w:u w:val="single" w:color="auto"/>
          <w:color w:val="auto"/>
        </w:rPr>
        <w:t>Compliance with Trust Indenture Act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Every amendment to this Indenture or the Securities of one or more Series shall be set forth in a supplemental indenture hereto that complies with the TIA as then in effect.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9.05. </w:t>
      </w:r>
      <w:r>
        <w:rPr>
          <w:rFonts w:ascii="Times New Roman" w:cs="Times New Roman" w:eastAsia="Times New Roman" w:hAnsi="Times New Roman"/>
          <w:sz w:val="15"/>
          <w:szCs w:val="15"/>
          <w:u w:val="single" w:color="auto"/>
          <w:color w:val="auto"/>
        </w:rPr>
        <w:t>Revocation and Effect of Consents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spacing w:after="0" w:line="151"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9.06. </w:t>
      </w:r>
      <w:r>
        <w:rPr>
          <w:rFonts w:ascii="Times New Roman" w:cs="Times New Roman" w:eastAsia="Times New Roman" w:hAnsi="Times New Roman"/>
          <w:sz w:val="15"/>
          <w:szCs w:val="15"/>
          <w:u w:val="single" w:color="auto"/>
          <w:color w:val="auto"/>
        </w:rPr>
        <w:t>Notation on or Exchange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9.07. </w:t>
      </w:r>
      <w:r>
        <w:rPr>
          <w:rFonts w:ascii="Times New Roman" w:cs="Times New Roman" w:eastAsia="Times New Roman" w:hAnsi="Times New Roman"/>
          <w:sz w:val="15"/>
          <w:szCs w:val="15"/>
          <w:u w:val="single" w:color="auto"/>
          <w:color w:val="auto"/>
        </w:rPr>
        <w:t>Trustee Protected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9.08. </w:t>
      </w:r>
      <w:r>
        <w:rPr>
          <w:rFonts w:ascii="Times New Roman" w:cs="Times New Roman" w:eastAsia="Times New Roman" w:hAnsi="Times New Roman"/>
          <w:sz w:val="15"/>
          <w:szCs w:val="15"/>
          <w:u w:val="single" w:color="auto"/>
          <w:color w:val="auto"/>
        </w:rPr>
        <w:t>Effect of Supplemental Indenture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4" w:name="page115"/>
    <w:bookmarkEnd w:id="114"/>
    <w:p>
      <w:pPr>
        <w:jc w:val="center"/>
        <w:ind w:right="-7"/>
        <w:spacing w:after="0"/>
        <w:rPr>
          <w:sz w:val="20"/>
          <w:szCs w:val="20"/>
          <w:color w:val="auto"/>
        </w:rPr>
      </w:pPr>
      <w:r>
        <w:rPr>
          <w:rFonts w:ascii="Times New Roman" w:cs="Times New Roman" w:eastAsia="Times New Roman" w:hAnsi="Times New Roman"/>
          <w:sz w:val="15"/>
          <w:szCs w:val="15"/>
          <w:color w:val="auto"/>
        </w:rPr>
        <w:t>ARTICLE X</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MISCELLANEOUS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10.01. </w:t>
      </w:r>
      <w:r>
        <w:rPr>
          <w:rFonts w:ascii="Times New Roman" w:cs="Times New Roman" w:eastAsia="Times New Roman" w:hAnsi="Times New Roman"/>
          <w:sz w:val="15"/>
          <w:szCs w:val="15"/>
          <w:u w:val="single" w:color="auto"/>
          <w:color w:val="auto"/>
        </w:rPr>
        <w:t>Trust Indenture Act Controls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8" w:firstLine="549"/>
        <w:spacing w:after="0" w:line="290" w:lineRule="auto"/>
        <w:rPr>
          <w:sz w:val="20"/>
          <w:szCs w:val="20"/>
          <w:color w:val="auto"/>
        </w:rPr>
      </w:pPr>
      <w:r>
        <w:rPr>
          <w:rFonts w:ascii="Times New Roman" w:cs="Times New Roman" w:eastAsia="Times New Roman" w:hAnsi="Times New Roman"/>
          <w:sz w:val="15"/>
          <w:szCs w:val="15"/>
          <w:color w:val="auto"/>
        </w:rPr>
        <w:t>If any provision of this Indenture limits, qualifies, or conflicts with another provision which is required or deemed to be included in this Indenture by the TIA, such required or deemed provision shall control.</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10.02.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8" w:firstLine="549"/>
        <w:spacing w:after="0" w:line="290" w:lineRule="auto"/>
        <w:rPr>
          <w:sz w:val="20"/>
          <w:szCs w:val="20"/>
          <w:color w:val="auto"/>
        </w:rPr>
      </w:pPr>
      <w:r>
        <w:rPr>
          <w:rFonts w:ascii="Times New Roman" w:cs="Times New Roman" w:eastAsia="Times New Roman" w:hAnsi="Times New Roman"/>
          <w:sz w:val="15"/>
          <w:szCs w:val="15"/>
          <w:color w:val="auto"/>
        </w:rPr>
        <w:t>Any notice or communication by the Company, the Trustee, the Paying Agent or the Registrar to another is duly given if in writing and delivered in person or mailed by first-class mail:</w:t>
      </w:r>
    </w:p>
    <w:p>
      <w:pPr>
        <w:spacing w:after="0" w:line="13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if to the Company:</w:t>
      </w:r>
    </w:p>
    <w:p>
      <w:pPr>
        <w:spacing w:after="0" w:line="194" w:lineRule="exact"/>
        <w:rPr>
          <w:sz w:val="20"/>
          <w:szCs w:val="20"/>
          <w:color w:val="auto"/>
        </w:rPr>
      </w:pPr>
    </w:p>
    <w:p>
      <w:pPr>
        <w:ind w:left="168" w:hanging="168"/>
        <w:spacing w:after="0"/>
        <w:tabs>
          <w:tab w:leader="none" w:pos="168"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Attn: [  ]</w:t>
      </w:r>
    </w:p>
    <w:p>
      <w:pPr>
        <w:spacing w:after="0" w:line="10"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Fax: [  ]</w:t>
      </w:r>
    </w:p>
    <w:p>
      <w:pPr>
        <w:spacing w:after="0" w:line="179"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5"/>
          <w:szCs w:val="15"/>
          <w:color w:val="auto"/>
        </w:rPr>
        <w:t>if to the Trustee:</w:t>
      </w:r>
    </w:p>
    <w:p>
      <w:pPr>
        <w:spacing w:after="0" w:line="194"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5"/>
          <w:szCs w:val="15"/>
          <w:color w:val="auto"/>
        </w:rPr>
        <w:t>if to the Registrar or Paying Agent:</w:t>
      </w:r>
    </w:p>
    <w:p>
      <w:pPr>
        <w:spacing w:after="0" w:line="25"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5"/>
          <w:szCs w:val="15"/>
          <w:color w:val="auto"/>
        </w:rPr>
        <w:t>[  ]</w:t>
      </w:r>
    </w:p>
    <w:p>
      <w:pPr>
        <w:sectPr>
          <w:pgSz w:w="11900" w:h="16838" w:orient="portrait"/>
          <w:cols w:equalWidth="0" w:num="1">
            <w:col w:w="11268"/>
          </w:cols>
          <w:pgMar w:left="312" w:top="789" w:right="319" w:bottom="1440" w:gutter="0" w:footer="0" w:header="0"/>
        </w:sectPr>
      </w:pPr>
    </w:p>
    <w:p>
      <w:pPr>
        <w:spacing w:after="0" w:line="11"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5"/>
          <w:szCs w:val="15"/>
          <w:color w:val="auto"/>
        </w:rPr>
        <w:t>Attn: [</w:t>
      </w:r>
    </w:p>
    <w:p>
      <w:pPr>
        <w:spacing w:after="0" w:line="11" w:lineRule="exact"/>
        <w:rPr>
          <w:sz w:val="20"/>
          <w:szCs w:val="20"/>
          <w:color w:val="auto"/>
        </w:rPr>
      </w:pPr>
    </w:p>
    <w:p>
      <w:pPr>
        <w:ind w:left="1108"/>
        <w:spacing w:after="0"/>
        <w:rPr>
          <w:sz w:val="20"/>
          <w:szCs w:val="20"/>
          <w:color w:val="auto"/>
        </w:rPr>
      </w:pPr>
      <w:r>
        <w:rPr>
          <w:rFonts w:ascii="Times New Roman" w:cs="Times New Roman" w:eastAsia="Times New Roman" w:hAnsi="Times New Roman"/>
          <w:sz w:val="15"/>
          <w:szCs w:val="15"/>
          <w:color w:val="auto"/>
        </w:rPr>
        <w:t>Fax: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sectPr>
          <w:pgSz w:w="11900" w:h="16838" w:orient="portrait"/>
          <w:cols w:equalWidth="0" w:num="2">
            <w:col w:w="1508" w:space="140"/>
            <w:col w:w="9620"/>
          </w:cols>
          <w:pgMar w:left="312" w:top="789" w:right="319" w:bottom="1440" w:gutter="0" w:footer="0" w:header="0"/>
          <w:type w:val="continuous"/>
        </w:sectPr>
      </w:pPr>
    </w:p>
    <w:p>
      <w:pPr>
        <w:ind w:left="1108"/>
        <w:spacing w:after="0"/>
        <w:rPr>
          <w:sz w:val="20"/>
          <w:szCs w:val="20"/>
          <w:color w:val="auto"/>
        </w:rPr>
      </w:pPr>
      <w:r>
        <w:rPr>
          <w:rFonts w:ascii="Times New Roman" w:cs="Times New Roman" w:eastAsia="Times New Roman" w:hAnsi="Times New Roman"/>
          <w:sz w:val="15"/>
          <w:szCs w:val="15"/>
          <w:color w:val="auto"/>
        </w:rPr>
        <w:t>with copy to:</w:t>
      </w:r>
    </w:p>
    <w:p>
      <w:pPr>
        <w:spacing w:after="0" w:line="194" w:lineRule="exact"/>
        <w:rPr>
          <w:sz w:val="20"/>
          <w:szCs w:val="20"/>
          <w:color w:val="auto"/>
        </w:rPr>
      </w:pPr>
    </w:p>
    <w:p>
      <w:pPr>
        <w:ind w:left="1268" w:hanging="169"/>
        <w:spacing w:after="0"/>
        <w:tabs>
          <w:tab w:leader="none" w:pos="1268"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110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Attn: [  ]</w:t>
      </w:r>
    </w:p>
    <w:p>
      <w:pPr>
        <w:spacing w:after="0" w:line="10" w:lineRule="exact"/>
        <w:rPr>
          <w:rFonts w:ascii="Times New Roman" w:cs="Times New Roman" w:eastAsia="Times New Roman" w:hAnsi="Times New Roman"/>
          <w:sz w:val="15"/>
          <w:szCs w:val="15"/>
          <w:color w:val="auto"/>
        </w:rPr>
      </w:pPr>
    </w:p>
    <w:p>
      <w:pPr>
        <w:ind w:left="110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Fax: [  ]</w:t>
      </w:r>
    </w:p>
    <w:p>
      <w:pPr>
        <w:spacing w:after="0" w:line="179"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The Company, the Trustee and each Agent by notice to each other may designate additional or different addresses for subsequent notices or communications.</w:t>
      </w:r>
    </w:p>
    <w:p>
      <w:pPr>
        <w:spacing w:after="0" w:line="194" w:lineRule="exact"/>
        <w:rPr>
          <w:sz w:val="20"/>
          <w:szCs w:val="20"/>
          <w:color w:val="auto"/>
        </w:rPr>
      </w:pPr>
    </w:p>
    <w:p>
      <w:pPr>
        <w:ind w:left="8" w:firstLine="549"/>
        <w:spacing w:after="0" w:line="290" w:lineRule="auto"/>
        <w:rPr>
          <w:sz w:val="20"/>
          <w:szCs w:val="20"/>
          <w:color w:val="auto"/>
        </w:rPr>
      </w:pPr>
      <w:r>
        <w:rPr>
          <w:rFonts w:ascii="Times New Roman" w:cs="Times New Roman" w:eastAsia="Times New Roman" w:hAnsi="Times New Roman"/>
          <w:sz w:val="15"/>
          <w:szCs w:val="15"/>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3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If a notice or communication is mailed or published in the manner provided above, within the time prescribed, it is duly given, whether or not the Securityholder receives it.</w:t>
      </w:r>
    </w:p>
    <w:p>
      <w:pPr>
        <w:spacing w:after="0" w:line="194"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If the company mails a notice or communication to Securityholders, it will mail a copy to the Trustee and each Agent at the same time.</w:t>
      </w:r>
    </w:p>
    <w:p>
      <w:pPr>
        <w:spacing w:after="0" w:line="194" w:lineRule="exact"/>
        <w:rPr>
          <w:sz w:val="20"/>
          <w:szCs w:val="20"/>
          <w:color w:val="auto"/>
        </w:rPr>
      </w:pPr>
    </w:p>
    <w:p>
      <w:pPr>
        <w:ind w:left="8" w:right="20" w:firstLine="549"/>
        <w:spacing w:after="0" w:line="290" w:lineRule="auto"/>
        <w:rPr>
          <w:sz w:val="20"/>
          <w:szCs w:val="20"/>
          <w:color w:val="auto"/>
        </w:rPr>
      </w:pPr>
      <w:r>
        <w:rPr>
          <w:rFonts w:ascii="Times New Roman" w:cs="Times New Roman" w:eastAsia="Times New Roman" w:hAnsi="Times New Roman"/>
          <w:sz w:val="15"/>
          <w:szCs w:val="15"/>
          <w:color w:val="auto"/>
        </w:rPr>
        <w:t>Whenever a notice is required to be given by the Company, such notice may be given by the Trustee or Registrar on the Company’s behalf (and the Company will make any notice it is required to give to Holders available on its website).</w:t>
      </w: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color w:val="auto"/>
        </w:rPr>
        <w:t xml:space="preserve">SECTION 10.03. </w:t>
      </w:r>
      <w:r>
        <w:rPr>
          <w:rFonts w:ascii="Times New Roman" w:cs="Times New Roman" w:eastAsia="Times New Roman" w:hAnsi="Times New Roman"/>
          <w:sz w:val="15"/>
          <w:szCs w:val="15"/>
          <w:u w:val="single" w:color="auto"/>
          <w:color w:val="auto"/>
        </w:rPr>
        <w:t>Communication by Holders with Other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10.04. </w:t>
      </w:r>
      <w:r>
        <w:rPr>
          <w:rFonts w:ascii="Times New Roman" w:cs="Times New Roman" w:eastAsia="Times New Roman" w:hAnsi="Times New Roman"/>
          <w:sz w:val="15"/>
          <w:szCs w:val="15"/>
          <w:u w:val="single" w:color="auto"/>
          <w:color w:val="auto"/>
        </w:rPr>
        <w:t>Certificate and Opinion as to Conditions Precedent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Upon any request or application by the Company to the Trustee to take any action under this Indenture, the Company shall furnish to the Trustee:</w:t>
      </w:r>
    </w:p>
    <w:p>
      <w:pPr>
        <w:spacing w:after="0" w:line="194" w:lineRule="exact"/>
        <w:rPr>
          <w:sz w:val="20"/>
          <w:szCs w:val="20"/>
          <w:color w:val="auto"/>
        </w:rPr>
      </w:pPr>
    </w:p>
    <w:p>
      <w:pPr>
        <w:ind w:right="20" w:firstLine="541"/>
        <w:spacing w:after="0" w:line="290" w:lineRule="auto"/>
        <w:tabs>
          <w:tab w:leader="none" w:pos="765"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stating that, in the opinion of the signers, all conditions precedent, if any, provided for in this Indenture relating to the proposed action have been complied with; and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85"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Opinion of Counsel stating that, in the opinion of counsel, all such conditions precedent (including any covenants, compliance with which constitutes a condition precedent) have been complied with.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10.05. </w:t>
      </w:r>
      <w:r>
        <w:rPr>
          <w:rFonts w:ascii="Times New Roman" w:cs="Times New Roman" w:eastAsia="Times New Roman" w:hAnsi="Times New Roman"/>
          <w:sz w:val="15"/>
          <w:szCs w:val="15"/>
          <w:u w:val="single" w:color="auto"/>
          <w:color w:val="auto"/>
        </w:rPr>
        <w:t>Statements Required in Certificate or Opinion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Each certificate or opinion with respect to compliance with a condition or covenant provided for in this Indenture (other than a certificate provided pursuant to TIA Section 314(a)(4)) shall comply with the provisions of TIA Section 314(e) and shall include:</w:t>
      </w:r>
    </w:p>
    <w:p>
      <w:pPr>
        <w:spacing w:after="0" w:line="133" w:lineRule="exact"/>
        <w:rPr>
          <w:sz w:val="20"/>
          <w:szCs w:val="20"/>
          <w:color w:val="auto"/>
        </w:rPr>
      </w:pPr>
    </w:p>
    <w:p>
      <w:pPr>
        <w:ind w:left="740" w:hanging="199"/>
        <w:spacing w:after="0"/>
        <w:tabs>
          <w:tab w:leader="none" w:pos="74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the person making such certificate or opinion has read such covenant or condition;</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statement as to the nature and scope of the examination or investigation upon which the statements or opinions contained in such certificate or opinion are based;</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57"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as to whether or not, in the opinion of such person, such condition or covenant has been complied with.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with respect to matters of fact an Opinion of Counsel may rely on an Officers’ Certificate or certificates of public officials.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10.06. </w:t>
      </w:r>
      <w:r>
        <w:rPr>
          <w:rFonts w:ascii="Times New Roman" w:cs="Times New Roman" w:eastAsia="Times New Roman" w:hAnsi="Times New Roman"/>
          <w:sz w:val="15"/>
          <w:szCs w:val="15"/>
          <w:u w:val="single" w:color="auto"/>
          <w:color w:val="auto"/>
        </w:rPr>
        <w:t>Record Date for Vote or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10.07. </w:t>
      </w:r>
      <w:r>
        <w:rPr>
          <w:rFonts w:ascii="Times New Roman" w:cs="Times New Roman" w:eastAsia="Times New Roman" w:hAnsi="Times New Roman"/>
          <w:sz w:val="15"/>
          <w:szCs w:val="15"/>
          <w:u w:val="single" w:color="auto"/>
          <w:color w:val="auto"/>
        </w:rPr>
        <w:t>Rules by Trustee and Agents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Trustee may make reasonable rules for action by or a meeting of Securityholders of one or more Series. Any Agent may make reasonable rules and set reasonable requirements for its functions.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color w:val="auto"/>
        </w:rPr>
        <w:t xml:space="preserve">SECTION 10.08. </w:t>
      </w:r>
      <w:r>
        <w:rPr>
          <w:rFonts w:ascii="Times New Roman" w:cs="Times New Roman" w:eastAsia="Times New Roman" w:hAnsi="Times New Roman"/>
          <w:sz w:val="15"/>
          <w:szCs w:val="15"/>
          <w:u w:val="single" w:color="auto"/>
          <w:color w:val="auto"/>
        </w:rPr>
        <w:t>Legal Holidays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10.09. </w:t>
      </w:r>
      <w:r>
        <w:rPr>
          <w:rFonts w:ascii="Times New Roman" w:cs="Times New Roman" w:eastAsia="Times New Roman" w:hAnsi="Times New Roman"/>
          <w:sz w:val="15"/>
          <w:szCs w:val="15"/>
          <w:u w:val="single" w:color="auto"/>
          <w:color w:val="auto"/>
        </w:rPr>
        <w:t>No Recourse Against Others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10.10.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10.11. </w:t>
      </w:r>
      <w:r>
        <w:rPr>
          <w:rFonts w:ascii="Times New Roman" w:cs="Times New Roman" w:eastAsia="Times New Roman" w:hAnsi="Times New Roman"/>
          <w:sz w:val="15"/>
          <w:szCs w:val="15"/>
          <w:u w:val="single" w:color="auto"/>
          <w:color w:val="auto"/>
        </w:rPr>
        <w:t>Governing Laws and Submission to Jurisdiction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AND THE SECURITIES SHALL BE GOVERNED BY THE LAWS OF THE STATE OF NEW YORK EXCLUDING ANY RULE OF LAW THAT WOULD CAUSE THE APPLICATION OF THE LAWS OF ANY JURISDICTION OTHER THAN THE STATE OF NEW YORK.</w:t>
      </w:r>
    </w:p>
    <w:p>
      <w:pPr>
        <w:spacing w:after="0" w:line="133"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Seward &amp; Kissel LLP, One Battery Park Plaza, New York, NY, 10004, as its agent for such purposes, and covenants and agrees that service of process in any legal action or proceeding may be made upon it at such office of such agent.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10.12. </w:t>
      </w:r>
      <w:r>
        <w:rPr>
          <w:rFonts w:ascii="Times New Roman" w:cs="Times New Roman" w:eastAsia="Times New Roman" w:hAnsi="Times New Roman"/>
          <w:sz w:val="15"/>
          <w:szCs w:val="15"/>
          <w:u w:val="single" w:color="auto"/>
          <w:color w:val="auto"/>
        </w:rPr>
        <w:t>No Adverse Interpretation of Other Agreements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This Indenture may not be used to interpret another indenture, loan or debt agreement of the Company or a Subsidiary. Any such indenture, loan or debt agreement may not be used to interpret this Indenture.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10.13.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agreements of the Company in this Indenture and the Securities shall bind its successor. All agreements of the Trustee in this Indenture shall bind its successor.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10.14.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10.15. </w:t>
      </w:r>
      <w:r>
        <w:rPr>
          <w:rFonts w:ascii="Times New Roman" w:cs="Times New Roman" w:eastAsia="Times New Roman" w:hAnsi="Times New Roman"/>
          <w:sz w:val="15"/>
          <w:szCs w:val="15"/>
          <w:u w:val="single" w:color="auto"/>
          <w:color w:val="auto"/>
        </w:rPr>
        <w:t>Table of Contents, Headings,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color w:val="auto"/>
        </w:rPr>
        <w:t xml:space="preserve">SECTION 10.16. </w:t>
      </w:r>
      <w:r>
        <w:rPr>
          <w:rFonts w:ascii="Times New Roman" w:cs="Times New Roman" w:eastAsia="Times New Roman" w:hAnsi="Times New Roman"/>
          <w:sz w:val="15"/>
          <w:szCs w:val="15"/>
          <w:u w:val="single" w:color="auto"/>
          <w:color w:val="auto"/>
        </w:rPr>
        <w:t>Securities in a Foreign Currency or in ECU</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10.17. </w:t>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10.18. </w:t>
      </w:r>
      <w:r>
        <w:rPr>
          <w:rFonts w:ascii="Times New Roman" w:cs="Times New Roman" w:eastAsia="Times New Roman" w:hAnsi="Times New Roman"/>
          <w:sz w:val="15"/>
          <w:szCs w:val="15"/>
          <w:u w:val="single" w:color="auto"/>
          <w:color w:val="auto"/>
        </w:rPr>
        <w:t>Compliance with Applicable Anti-Terrorism and Money Laundering Regulations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5"/>
          <w:szCs w:val="15"/>
          <w:color w:val="auto"/>
        </w:rPr>
        <w:t>ARTICLE XI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SINKING FUNDS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u w:val="single" w:color="auto"/>
          <w:color w:val="auto"/>
        </w:rPr>
        <w:t>Applicability of Article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3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5"/>
          <w:szCs w:val="15"/>
          <w:u w:val="single" w:color="auto"/>
          <w:color w:val="auto"/>
        </w:rPr>
        <w:t>Satisfaction of Sinking Fund Payments with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11.03. </w:t>
      </w:r>
      <w:r>
        <w:rPr>
          <w:rFonts w:ascii="Times New Roman" w:cs="Times New Roman" w:eastAsia="Times New Roman" w:hAnsi="Times New Roman"/>
          <w:sz w:val="15"/>
          <w:szCs w:val="15"/>
          <w:u w:val="single" w:color="auto"/>
          <w:color w:val="auto"/>
        </w:rPr>
        <w:t>Redemption of Securities for Sinking Fund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remainder of this page is intentionally left blank</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9" w:name="page120"/>
    <w:bookmarkEnd w:id="119"/>
    <w:p>
      <w:pPr>
        <w:ind w:left="548"/>
        <w:spacing w:after="0"/>
        <w:rPr>
          <w:sz w:val="20"/>
          <w:szCs w:val="20"/>
          <w:color w:val="auto"/>
        </w:rPr>
      </w:pPr>
      <w:r>
        <w:rPr>
          <w:rFonts w:ascii="Times New Roman" w:cs="Times New Roman" w:eastAsia="Times New Roman" w:hAnsi="Times New Roman"/>
          <w:sz w:val="15"/>
          <w:szCs w:val="15"/>
          <w:color w:val="auto"/>
        </w:rPr>
        <w:t>IN WITNESS WHEREOF, the parties hereto have caused this Indenture to be duly executed as of the day and year first above written.</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GD CULTURE GROUP LIMITED</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50063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90"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2"/>
          <w:szCs w:val="12"/>
          <w:color w:val="auto"/>
        </w:rPr>
        <w:t>]</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Trustee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50063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50063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90" w:lineRule="exact"/>
        <w:rPr>
          <w:sz w:val="20"/>
          <w:szCs w:val="20"/>
          <w:color w:val="auto"/>
        </w:rPr>
      </w:pPr>
    </w:p>
    <w:p>
      <w:pPr>
        <w:ind w:left="248" w:hanging="248"/>
        <w:spacing w:after="0"/>
        <w:tabs>
          <w:tab w:leader="none" w:pos="248"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Registrar and Paying Agent</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50063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50063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374"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48"/>
          </w:cols>
          <w:pgMar w:left="312" w:top="789"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GD CULTURE GROUP LIMITED</w:t>
      </w:r>
    </w:p>
    <w:p>
      <w:pPr>
        <w:spacing w:after="0" w:line="1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FORM OF</w:t>
      </w:r>
    </w:p>
    <w:p>
      <w:pPr>
        <w:spacing w:after="0" w:line="19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5"/>
          <w:szCs w:val="15"/>
          <w:color w:val="auto"/>
        </w:rPr>
        <w:t>SUBORDINATED INDENTURE</w:t>
      </w:r>
    </w:p>
    <w:p>
      <w:pPr>
        <w:spacing w:after="0" w:line="194" w:lineRule="exact"/>
        <w:rPr>
          <w:sz w:val="20"/>
          <w:szCs w:val="20"/>
          <w:color w:val="auto"/>
        </w:rPr>
      </w:pPr>
    </w:p>
    <w:tbl>
      <w:tblPr>
        <w:tblLayout w:type="fixed"/>
        <w:tblInd w:w="3700" w:type="dxa"/>
        <w:tblCellMar>
          <w:top w:w="0" w:type="dxa"/>
          <w:left w:w="0" w:type="dxa"/>
          <w:bottom w:w="0" w:type="dxa"/>
          <w:right w:w="0" w:type="dxa"/>
        </w:tblCellMar>
      </w:tblPr>
      <w:tr>
        <w:trPr>
          <w:trHeight w:val="198"/>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Dated as of [</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2026</w:t>
            </w:r>
          </w:p>
        </w:tc>
      </w:tr>
    </w:tbl>
    <w:p>
      <w:pPr>
        <w:spacing w:after="0" w:line="168" w:lineRule="exact"/>
        <w:rPr>
          <w:sz w:val="20"/>
          <w:szCs w:val="20"/>
          <w:color w:val="auto"/>
        </w:rPr>
      </w:pPr>
    </w:p>
    <w:p>
      <w:pPr>
        <w:ind w:left="4700" w:hanging="437"/>
        <w:spacing w:after="0"/>
        <w:tabs>
          <w:tab w:leader="none" w:pos="470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4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844550</wp:posOffset>
            </wp:positionV>
            <wp:extent cx="715327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98"/>
        </w:trPr>
        <w:tc>
          <w:tcPr>
            <w:tcW w:w="1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TABLE OF CONTENTS</w:t>
            </w:r>
          </w:p>
        </w:tc>
      </w:tr>
      <w:tr>
        <w:trPr>
          <w:trHeight w:val="369"/>
        </w:trPr>
        <w:tc>
          <w:tcPr>
            <w:tcW w:w="1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PAGE</w:t>
            </w:r>
          </w:p>
        </w:tc>
      </w:tr>
      <w:tr>
        <w:trPr>
          <w:trHeight w:val="183"/>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 DEFINITIONS AND INCORPORATION BY REFERENCE</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Definitions.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1.02.</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Other Definitions.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1.03.</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Incorporation by Reference of Trust Indenture Act.</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1.04.</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Rules of Construction.</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4</w:t>
            </w:r>
          </w:p>
        </w:tc>
      </w:tr>
      <w:tr>
        <w:trPr>
          <w:trHeight w:val="195"/>
        </w:trPr>
        <w:tc>
          <w:tcPr>
            <w:tcW w:w="4820" w:type="dxa"/>
            <w:vAlign w:val="bottom"/>
            <w:gridSpan w:val="2"/>
          </w:tcPr>
          <w:p>
            <w:pPr>
              <w:spacing w:after="0"/>
              <w:rPr>
                <w:sz w:val="16"/>
                <w:szCs w:val="16"/>
                <w:color w:val="auto"/>
              </w:rPr>
            </w:pPr>
          </w:p>
        </w:tc>
        <w:tc>
          <w:tcPr>
            <w:tcW w:w="58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II THE SECURITIES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2.01.</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Issuable in Series.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2.02.</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Establishment of Terms of Series of Securities.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5</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2.03.</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Execution and Authentication.</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6</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2.04.</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Registrar and Paying Agent.</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7</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2.05.</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Paying Agent to Hold Money in Trust.</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2.06.</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Securityholder Lists.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2.07.</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Transfer and Exchange.</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2.08.</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Mutilated, Destroyed, Lost and Stolen Securities.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8</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2.09.</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Outstanding Securities.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2.10.</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Treasury Securities.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2.11.</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Temporary Securities.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9</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2.12.</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Cancellation.</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2.13.</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Defaulted Interest.</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2.14.</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Global Securities.</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2.15.</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CUSIP Numbers.</w:t>
            </w:r>
          </w:p>
        </w:tc>
        <w:tc>
          <w:tcPr>
            <w:tcW w:w="6440" w:type="dxa"/>
            <w:vAlign w:val="bottom"/>
            <w:gridSpan w:val="2"/>
          </w:tcPr>
          <w:p>
            <w:pPr>
              <w:jc w:val="center"/>
              <w:ind w:left="5784"/>
              <w:spacing w:after="0"/>
              <w:rPr>
                <w:sz w:val="20"/>
                <w:szCs w:val="20"/>
                <w:color w:val="auto"/>
              </w:rPr>
            </w:pPr>
            <w:r>
              <w:rPr>
                <w:rFonts w:ascii="Times New Roman" w:cs="Times New Roman" w:eastAsia="Times New Roman" w:hAnsi="Times New Roman"/>
                <w:sz w:val="15"/>
                <w:szCs w:val="15"/>
                <w:color w:val="auto"/>
                <w:w w:val="93"/>
              </w:rPr>
              <w:t>11</w:t>
            </w:r>
          </w:p>
        </w:tc>
      </w:tr>
      <w:tr>
        <w:trPr>
          <w:trHeight w:val="195"/>
        </w:trPr>
        <w:tc>
          <w:tcPr>
            <w:tcW w:w="4820" w:type="dxa"/>
            <w:vAlign w:val="bottom"/>
            <w:gridSpan w:val="2"/>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3"/>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III REDEMPTION</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3.01.</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Notice to Trustee.</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3.02.</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Selection of Securities to be Redeemed.</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3.03.</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Notice of Redemption.</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3.04.</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Effect of Notice of Redemption.</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3.05.</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Deposit of Redemption Price.</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3.06.</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Securities Redeemed in Part.</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13</w:t>
            </w:r>
          </w:p>
        </w:tc>
      </w:tr>
      <w:tr>
        <w:trPr>
          <w:trHeight w:val="195"/>
        </w:trPr>
        <w:tc>
          <w:tcPr>
            <w:tcW w:w="4820" w:type="dxa"/>
            <w:vAlign w:val="bottom"/>
            <w:gridSpan w:val="2"/>
            <w:shd w:val="clear" w:color="auto" w:fill="CCEEFF"/>
          </w:tcPr>
          <w:p>
            <w:pPr>
              <w:spacing w:after="0"/>
              <w:rPr>
                <w:sz w:val="16"/>
                <w:szCs w:val="16"/>
                <w:color w:val="auto"/>
              </w:rPr>
            </w:pPr>
          </w:p>
        </w:tc>
        <w:tc>
          <w:tcPr>
            <w:tcW w:w="5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83"/>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IV COVENANTS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4.01.</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Payment of Principal and Interest.</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4.02.</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SEC Reports.</w:t>
            </w:r>
          </w:p>
        </w:tc>
        <w:tc>
          <w:tcPr>
            <w:tcW w:w="6440" w:type="dxa"/>
            <w:vAlign w:val="bottom"/>
            <w:gridSpan w:val="2"/>
          </w:tcPr>
          <w:p>
            <w:pPr>
              <w:jc w:val="center"/>
              <w:ind w:left="5804"/>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4.03.</w:t>
            </w: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Compliance Certificate.</w:t>
            </w:r>
          </w:p>
        </w:tc>
        <w:tc>
          <w:tcPr>
            <w:tcW w:w="6440" w:type="dxa"/>
            <w:vAlign w:val="bottom"/>
            <w:gridSpan w:val="2"/>
            <w:shd w:val="clear" w:color="auto" w:fill="CCEEFF"/>
          </w:tcPr>
          <w:p>
            <w:pPr>
              <w:jc w:val="center"/>
              <w:ind w:left="5804"/>
              <w:spacing w:after="0"/>
              <w:rPr>
                <w:sz w:val="20"/>
                <w:szCs w:val="20"/>
                <w:color w:val="auto"/>
              </w:rPr>
            </w:pPr>
            <w:r>
              <w:rPr>
                <w:rFonts w:ascii="Times New Roman" w:cs="Times New Roman" w:eastAsia="Times New Roman" w:hAnsi="Times New Roman"/>
                <w:sz w:val="15"/>
                <w:szCs w:val="15"/>
                <w:color w:val="auto"/>
              </w:rPr>
              <w:t>14</w:t>
            </w:r>
          </w:p>
        </w:tc>
      </w:tr>
    </w:tbl>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4.04.</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Stay, Extension and Usury Laws.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4.05.</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Corporate Existence.</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4.06.</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Taxes.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4.07.</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Additional Interest Notice.</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4.08.</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Further Instruments and Acts.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95"/>
        </w:trPr>
        <w:tc>
          <w:tcPr>
            <w:tcW w:w="8300" w:type="dxa"/>
            <w:vAlign w:val="bottom"/>
            <w:gridSpan w:val="2"/>
          </w:tcPr>
          <w:p>
            <w:pPr>
              <w:spacing w:after="0"/>
              <w:rPr>
                <w:sz w:val="16"/>
                <w:szCs w:val="16"/>
                <w:color w:val="auto"/>
              </w:rPr>
            </w:pPr>
          </w:p>
        </w:tc>
        <w:tc>
          <w:tcPr>
            <w:tcW w:w="2960" w:type="dxa"/>
            <w:vAlign w:val="bottom"/>
          </w:tcPr>
          <w:p>
            <w:pPr>
              <w:spacing w:after="0"/>
              <w:rPr>
                <w:sz w:val="16"/>
                <w:szCs w:val="16"/>
                <w:color w:val="auto"/>
              </w:rPr>
            </w:pPr>
          </w:p>
        </w:tc>
      </w:tr>
      <w:tr>
        <w:trPr>
          <w:trHeight w:val="18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 SUCCESSORS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5.01.</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When Company May Merge, Etc.</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5.02.</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Successor Corporation Substituted.</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95"/>
        </w:trPr>
        <w:tc>
          <w:tcPr>
            <w:tcW w:w="8300" w:type="dxa"/>
            <w:vAlign w:val="bottom"/>
            <w:gridSpan w:val="2"/>
          </w:tcPr>
          <w:p>
            <w:pPr>
              <w:spacing w:after="0"/>
              <w:rPr>
                <w:sz w:val="16"/>
                <w:szCs w:val="16"/>
                <w:color w:val="auto"/>
              </w:rPr>
            </w:pPr>
          </w:p>
        </w:tc>
        <w:tc>
          <w:tcPr>
            <w:tcW w:w="2960" w:type="dxa"/>
            <w:vAlign w:val="bottom"/>
          </w:tcPr>
          <w:p>
            <w:pPr>
              <w:spacing w:after="0"/>
              <w:rPr>
                <w:sz w:val="16"/>
                <w:szCs w:val="16"/>
                <w:color w:val="auto"/>
              </w:rPr>
            </w:pPr>
          </w:p>
        </w:tc>
      </w:tr>
      <w:tr>
        <w:trPr>
          <w:trHeight w:val="183"/>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 DEFAULTS AND REMEDIES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6.01.</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Events of Default.</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6.02.</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Acceleration of Maturity; Rescission and Annulment.</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6.03.</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18</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6.04.</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Trustee May File Proofs of Claim.</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6.05.</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Trustee May Enforce Claims Without Possession of Securities.</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18</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6.06.</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Application of Money Collected.</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6.07.</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Limitation on Suits.</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6.08.</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Unconditional Right of Holders to Receive Principal and Interest.</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6.09.</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Restoration of Rights and Remedies.</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6.10.</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Rights and Remedies Cumulative.</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6.11.</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Delay or Omission Not Waiver.</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6.12.</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Control by Holders.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6.13.</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Waiver of Past Defaults.</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6.14.</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Undertaking for Costs.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20</w:t>
            </w:r>
          </w:p>
        </w:tc>
      </w:tr>
      <w:tr>
        <w:trPr>
          <w:trHeight w:val="195"/>
        </w:trPr>
        <w:tc>
          <w:tcPr>
            <w:tcW w:w="16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83"/>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 TRUSTEE</w:t>
            </w:r>
          </w:p>
        </w:tc>
        <w:tc>
          <w:tcPr>
            <w:tcW w:w="6660" w:type="dxa"/>
            <w:vAlign w:val="bottom"/>
            <w:shd w:val="clear" w:color="auto" w:fill="CCEEFF"/>
          </w:tcPr>
          <w:p>
            <w:pPr>
              <w:spacing w:after="0"/>
              <w:rPr>
                <w:sz w:val="15"/>
                <w:szCs w:val="15"/>
                <w:color w:val="auto"/>
              </w:rPr>
            </w:pP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7.01.</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Duties of Trustee.</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21</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7.02.</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Rights of Trustee.</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7.03.</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Individual Rights of Trustee.</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7.04.</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Trustee’s Disclaimer.</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7.05.</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Notice of Defaults.</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7.06.</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Reports by Trustee to Holders.</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7.07.</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Compensation and Indemnity.</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7.08.</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Replacement of Trustee.</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7.09.</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Successor Trustee by Merger, etc.</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7.10.</w:t>
            </w:r>
          </w:p>
        </w:tc>
        <w:tc>
          <w:tcPr>
            <w:tcW w:w="6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Eligibility; Disqualification.</w:t>
            </w:r>
          </w:p>
        </w:tc>
        <w:tc>
          <w:tcPr>
            <w:tcW w:w="2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r>
      <w:tr>
        <w:trPr>
          <w:trHeight w:val="198"/>
        </w:trPr>
        <w:tc>
          <w:tcPr>
            <w:tcW w:w="1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7.11.</w:t>
            </w:r>
          </w:p>
        </w:tc>
        <w:tc>
          <w:tcPr>
            <w:tcW w:w="6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Preferential Collection of Claims Against Company.</w:t>
            </w:r>
          </w:p>
        </w:tc>
        <w:tc>
          <w:tcPr>
            <w:tcW w:w="2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r>
    </w:tbl>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3"/>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VIII SATISFACTION AND DISCHARGE; DEFEASANCE</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8.01.</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Satisfaction and Discharge of Indenture.</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8.02.</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Application of Trust Funds; Indemnification.</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8.03.</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Legal Defeasance of Securities of any Series.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26</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8.04.</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Covenant Defeasance.</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8.05.</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Repayment to Company.</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27</w:t>
            </w:r>
          </w:p>
        </w:tc>
      </w:tr>
      <w:tr>
        <w:trPr>
          <w:trHeight w:val="195"/>
        </w:trPr>
        <w:tc>
          <w:tcPr>
            <w:tcW w:w="8780" w:type="dxa"/>
            <w:vAlign w:val="bottom"/>
            <w:gridSpan w:val="2"/>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r>
      <w:tr>
        <w:trPr>
          <w:trHeight w:val="183"/>
        </w:trPr>
        <w:tc>
          <w:tcPr>
            <w:tcW w:w="8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IX AMENDMENTS AND WAIVERS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9.01.</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Without Consent of Holders.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9.02.</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With Consent of Holders.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9.03.</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Limitations.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9.04.</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Trust Indenture Act.</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9.05.</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Revocation and Effect of Consents.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9.06.</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Notation on or Exchange of Securities.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9.07.</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Trustee Protected.</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9.08.</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Effect of Supplemental Indenture.</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w:t>
            </w:r>
          </w:p>
        </w:tc>
      </w:tr>
      <w:tr>
        <w:trPr>
          <w:trHeight w:val="195"/>
        </w:trPr>
        <w:tc>
          <w:tcPr>
            <w:tcW w:w="8780" w:type="dxa"/>
            <w:vAlign w:val="bottom"/>
            <w:gridSpan w:val="2"/>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r>
      <w:tr>
        <w:trPr>
          <w:trHeight w:val="183"/>
        </w:trPr>
        <w:tc>
          <w:tcPr>
            <w:tcW w:w="8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 MISCELLANEOUS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10.01.</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Trust Indenture Act Controls.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10.02.</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Notices.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10.03.</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Communication by Holders with Other Holders.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10.04.</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Certificate and Opinion as to Conditions Precedent.</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10.05.</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Statements Required in Certificate or Opinion.</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10.06.</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Record Date for Vote or Consent of Holders.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10.07.</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Rules by Trustee and Agents.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10.08.</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Legal Holidays.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10.09.</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 Recourse Against Others.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10.10.</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Counterparts.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10.11.</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Governing Laws and Submission to Jurisdiction.</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10.12.</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No Adverse Interpretation of Other Agreements.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10.13.</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Successors.</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32</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10.14.</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Severability.</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10.15.</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Table of Contents, Headings, Etc.</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10.16.</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Securities in a Foreign Currency or in ECU.</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10.17.</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Judgment Currency.</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33</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10.18.</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Compliance with Applicable Anti-Terrorism and Money Laundering Regulations.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34</w:t>
            </w:r>
          </w:p>
        </w:tc>
      </w:tr>
      <w:tr>
        <w:trPr>
          <w:trHeight w:val="195"/>
        </w:trPr>
        <w:tc>
          <w:tcPr>
            <w:tcW w:w="8780" w:type="dxa"/>
            <w:vAlign w:val="bottom"/>
            <w:gridSpan w:val="2"/>
            <w:shd w:val="clear" w:color="auto" w:fill="CCEEFF"/>
          </w:tcPr>
          <w:p>
            <w:pPr>
              <w:spacing w:after="0"/>
              <w:rPr>
                <w:sz w:val="16"/>
                <w:szCs w:val="16"/>
                <w:color w:val="auto"/>
              </w:rPr>
            </w:pPr>
          </w:p>
        </w:tc>
        <w:tc>
          <w:tcPr>
            <w:tcW w:w="2480" w:type="dxa"/>
            <w:vAlign w:val="bottom"/>
            <w:shd w:val="clear" w:color="auto" w:fill="CCEEFF"/>
          </w:tcPr>
          <w:p>
            <w:pPr>
              <w:spacing w:after="0"/>
              <w:rPr>
                <w:sz w:val="16"/>
                <w:szCs w:val="16"/>
                <w:color w:val="auto"/>
              </w:rPr>
            </w:pPr>
          </w:p>
        </w:tc>
      </w:tr>
      <w:tr>
        <w:trPr>
          <w:trHeight w:val="183"/>
        </w:trPr>
        <w:tc>
          <w:tcPr>
            <w:tcW w:w="87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ARTICLE XI SINKING FUNDS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11.01.</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Applicability of Article.</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SECTION 11.02.</w:t>
            </w:r>
          </w:p>
        </w:tc>
        <w:tc>
          <w:tcPr>
            <w:tcW w:w="73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24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SECTION 11.03.</w:t>
            </w:r>
          </w:p>
        </w:tc>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24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34</w:t>
            </w:r>
          </w:p>
        </w:tc>
      </w:tr>
    </w:tbl>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98"/>
        </w:trPr>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84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Reconciliation and tie between Trust Indenture Act of 1939 and Indenture,</w:t>
            </w:r>
          </w:p>
        </w:tc>
      </w:tr>
      <w:tr>
        <w:trPr>
          <w:trHeight w:val="36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Dated as of [</w:t>
            </w:r>
          </w:p>
        </w:tc>
        <w:tc>
          <w:tcPr>
            <w:tcW w:w="146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 2026</w:t>
            </w:r>
          </w:p>
        </w:tc>
        <w:tc>
          <w:tcPr>
            <w:tcW w:w="8840" w:type="dxa"/>
            <w:vAlign w:val="bottom"/>
          </w:tcPr>
          <w:p>
            <w:pPr>
              <w:spacing w:after="0"/>
              <w:rPr>
                <w:sz w:val="24"/>
                <w:szCs w:val="24"/>
                <w:color w:val="auto"/>
              </w:rPr>
            </w:pPr>
          </w:p>
        </w:tc>
      </w:tr>
      <w:tr>
        <w:trPr>
          <w:trHeight w:val="183"/>
        </w:trPr>
        <w:tc>
          <w:tcPr>
            <w:tcW w:w="2420" w:type="dxa"/>
            <w:vAlign w:val="bottom"/>
            <w:gridSpan w:val="2"/>
          </w:tcPr>
          <w:p>
            <w:pPr>
              <w:spacing w:after="0"/>
              <w:rPr>
                <w:sz w:val="15"/>
                <w:szCs w:val="15"/>
                <w:color w:val="auto"/>
              </w:rPr>
            </w:pPr>
          </w:p>
        </w:tc>
        <w:tc>
          <w:tcPr>
            <w:tcW w:w="8840" w:type="dxa"/>
            <w:vAlign w:val="bottom"/>
          </w:tcPr>
          <w:p>
            <w:pPr>
              <w:spacing w:after="0"/>
              <w:rPr>
                <w:sz w:val="15"/>
                <w:szCs w:val="15"/>
                <w:color w:val="auto"/>
              </w:rPr>
            </w:pPr>
          </w:p>
        </w:tc>
      </w:tr>
      <w:tr>
        <w:trPr>
          <w:trHeight w:val="18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310(a)(1)</w:t>
            </w: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(a)(3)</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(a)(4)</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(a)(5)</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7.10</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311(a)</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7.11</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7.11</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312(a)</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2.06</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rPr>
              <w:t>10.03</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rPr>
              <w:t>10.03</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313(a)</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(b)(1)</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(b)(2)</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(c)(1)</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7.06</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314(a)</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84"/>
              <w:spacing w:after="0"/>
              <w:rPr>
                <w:sz w:val="20"/>
                <w:szCs w:val="20"/>
                <w:color w:val="auto"/>
              </w:rPr>
            </w:pPr>
            <w:r>
              <w:rPr>
                <w:rFonts w:ascii="Times New Roman" w:cs="Times New Roman" w:eastAsia="Times New Roman" w:hAnsi="Times New Roman"/>
                <w:sz w:val="15"/>
                <w:szCs w:val="15"/>
                <w:color w:val="auto"/>
              </w:rPr>
              <w:t>4.02, 10.05</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(c)(1)</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rPr>
              <w:t>10.04</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(c)(2)</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rPr>
              <w:t>10.04</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(c)(3)</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rPr>
              <w:t>10.05</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(f)</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315(a)</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7.05</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(d)</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7.01</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6.14</w:t>
            </w:r>
          </w:p>
        </w:tc>
      </w:tr>
      <w:tr>
        <w:trPr>
          <w:trHeight w:val="183"/>
        </w:trPr>
        <w:tc>
          <w:tcPr>
            <w:tcW w:w="2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Section 316(a)(1)(A)</w:t>
            </w: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6.12</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(a)(1)(B)</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6.13</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1460" w:type="dxa"/>
            <w:vAlign w:val="bottom"/>
          </w:tcPr>
          <w:p>
            <w:pPr>
              <w:spacing w:after="0"/>
              <w:rPr>
                <w:sz w:val="15"/>
                <w:szCs w:val="15"/>
                <w:color w:val="auto"/>
              </w:rPr>
            </w:pPr>
          </w:p>
        </w:tc>
        <w:tc>
          <w:tcPr>
            <w:tcW w:w="8840" w:type="dxa"/>
            <w:vAlign w:val="bottom"/>
          </w:tcPr>
          <w:p>
            <w:pPr>
              <w:ind w:left="7520"/>
              <w:spacing w:after="0"/>
              <w:rPr>
                <w:sz w:val="20"/>
                <w:szCs w:val="20"/>
                <w:color w:val="auto"/>
              </w:rPr>
            </w:pPr>
            <w:r>
              <w:rPr>
                <w:rFonts w:ascii="Times New Roman" w:cs="Times New Roman" w:eastAsia="Times New Roman" w:hAnsi="Times New Roman"/>
                <w:sz w:val="15"/>
                <w:szCs w:val="15"/>
                <w:color w:val="auto"/>
              </w:rPr>
              <w:t>Not Applicable</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6.13</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(c)</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rPr>
              <w:t>10.06</w:t>
            </w:r>
          </w:p>
        </w:tc>
      </w:tr>
      <w:tr>
        <w:trPr>
          <w:trHeight w:val="183"/>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317(a)(1)</w:t>
            </w: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6.03</w:t>
            </w: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(a)(2)</w:t>
            </w:r>
          </w:p>
        </w:tc>
        <w:tc>
          <w:tcPr>
            <w:tcW w:w="1460" w:type="dxa"/>
            <w:vAlign w:val="bottom"/>
          </w:tcPr>
          <w:p>
            <w:pPr>
              <w:spacing w:after="0"/>
              <w:rPr>
                <w:sz w:val="15"/>
                <w:szCs w:val="15"/>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w w:val="98"/>
              </w:rPr>
              <w:t>6.04</w:t>
            </w:r>
          </w:p>
        </w:tc>
      </w:tr>
      <w:tr>
        <w:trPr>
          <w:trHeight w:val="183"/>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w:t>
            </w:r>
          </w:p>
        </w:tc>
        <w:tc>
          <w:tcPr>
            <w:tcW w:w="1460" w:type="dxa"/>
            <w:vAlign w:val="bottom"/>
            <w:shd w:val="clear" w:color="auto" w:fill="CCEEFF"/>
          </w:tcPr>
          <w:p>
            <w:pPr>
              <w:spacing w:after="0"/>
              <w:rPr>
                <w:sz w:val="15"/>
                <w:szCs w:val="15"/>
                <w:color w:val="auto"/>
              </w:rPr>
            </w:pPr>
          </w:p>
        </w:tc>
        <w:tc>
          <w:tcPr>
            <w:tcW w:w="8840" w:type="dxa"/>
            <w:vAlign w:val="bottom"/>
            <w:shd w:val="clear" w:color="auto" w:fill="CCEEFF"/>
          </w:tcPr>
          <w:p>
            <w:pPr>
              <w:jc w:val="center"/>
              <w:ind w:left="7064"/>
              <w:spacing w:after="0"/>
              <w:rPr>
                <w:sz w:val="20"/>
                <w:szCs w:val="20"/>
                <w:color w:val="auto"/>
              </w:rPr>
            </w:pPr>
            <w:r>
              <w:rPr>
                <w:rFonts w:ascii="Times New Roman" w:cs="Times New Roman" w:eastAsia="Times New Roman" w:hAnsi="Times New Roman"/>
                <w:sz w:val="15"/>
                <w:szCs w:val="15"/>
                <w:color w:val="auto"/>
                <w:w w:val="98"/>
              </w:rPr>
              <w:t>2.05</w:t>
            </w:r>
          </w:p>
        </w:tc>
      </w:tr>
      <w:tr>
        <w:trPr>
          <w:trHeight w:val="198"/>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318(a)</w:t>
            </w:r>
          </w:p>
        </w:tc>
        <w:tc>
          <w:tcPr>
            <w:tcW w:w="1460" w:type="dxa"/>
            <w:vAlign w:val="bottom"/>
          </w:tcPr>
          <w:p>
            <w:pPr>
              <w:spacing w:after="0"/>
              <w:rPr>
                <w:sz w:val="17"/>
                <w:szCs w:val="17"/>
                <w:color w:val="auto"/>
              </w:rPr>
            </w:pPr>
          </w:p>
        </w:tc>
        <w:tc>
          <w:tcPr>
            <w:tcW w:w="8840" w:type="dxa"/>
            <w:vAlign w:val="bottom"/>
          </w:tcPr>
          <w:p>
            <w:pPr>
              <w:jc w:val="center"/>
              <w:ind w:left="7064"/>
              <w:spacing w:after="0"/>
              <w:rPr>
                <w:sz w:val="20"/>
                <w:szCs w:val="20"/>
                <w:color w:val="auto"/>
              </w:rPr>
            </w:pPr>
            <w:r>
              <w:rPr>
                <w:rFonts w:ascii="Times New Roman" w:cs="Times New Roman" w:eastAsia="Times New Roman" w:hAnsi="Times New Roman"/>
                <w:sz w:val="15"/>
                <w:szCs w:val="15"/>
                <w:color w:val="auto"/>
              </w:rPr>
              <w:t>10.01</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 This reconciliation and tie shall not, for any purpose, be deemed to be part of the Indenture.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25" w:name="page126"/>
    <w:bookmarkEnd w:id="125"/>
    <w:p>
      <w:pPr>
        <w:ind w:left="540"/>
        <w:spacing w:after="0"/>
        <w:tabs>
          <w:tab w:leader="none" w:pos="9720" w:val="left"/>
        </w:tabs>
        <w:rPr>
          <w:sz w:val="20"/>
          <w:szCs w:val="20"/>
          <w:color w:val="auto"/>
        </w:rPr>
      </w:pPr>
      <w:r>
        <w:rPr>
          <w:rFonts w:ascii="Times New Roman" w:cs="Times New Roman" w:eastAsia="Times New Roman" w:hAnsi="Times New Roman"/>
          <w:sz w:val="15"/>
          <w:szCs w:val="15"/>
          <w:color w:val="auto"/>
        </w:rPr>
        <w:t>Indenture dated as of [  ], 2026 between GD Culture Group Limited, a company organized under the laws of the Nevada (the “Company”) and [</w:t>
      </w:r>
      <w:r>
        <w:rPr>
          <w:sz w:val="20"/>
          <w:szCs w:val="20"/>
          <w:color w:val="auto"/>
        </w:rPr>
        <w:tab/>
      </w:r>
      <w:r>
        <w:rPr>
          <w:rFonts w:ascii="Times New Roman" w:cs="Times New Roman" w:eastAsia="Times New Roman" w:hAnsi="Times New Roman"/>
          <w:sz w:val="15"/>
          <w:szCs w:val="15"/>
          <w:color w:val="auto"/>
        </w:rPr>
        <w:t>] (the “Trustee”).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party agrees as follows for the benefit of the other party and for the equal and ratable benefit of the Holders of the Securities issued under this Indenture.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DEFINITIONS AND INCORPORATION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Additional Amounts</w:t>
      </w:r>
      <w:r>
        <w:rPr>
          <w:rFonts w:ascii="Times New Roman" w:cs="Times New Roman" w:eastAsia="Times New Roman" w:hAnsi="Times New Roman"/>
          <w:sz w:val="15"/>
          <w:szCs w:val="15"/>
          <w:color w:val="auto"/>
        </w:rPr>
        <w:t>” means any additional amounts which are required hereby or by any Security, under circumstances specified herein or therein, to be paid by the Company in respect of certain taxes imposed on Holders specified therein and which are owing to such Holders.</w:t>
      </w:r>
    </w:p>
    <w:p>
      <w:pPr>
        <w:spacing w:after="0" w:line="125"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Agent</w:t>
      </w:r>
      <w:r>
        <w:rPr>
          <w:rFonts w:ascii="Times New Roman" w:cs="Times New Roman" w:eastAsia="Times New Roman" w:hAnsi="Times New Roman"/>
          <w:sz w:val="15"/>
          <w:szCs w:val="15"/>
          <w:color w:val="auto"/>
        </w:rPr>
        <w:t>” means any Registrar or Paying Agent.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Bankruptcy Law</w:t>
      </w:r>
      <w:r>
        <w:rPr>
          <w:rFonts w:ascii="Times New Roman" w:cs="Times New Roman" w:eastAsia="Times New Roman" w:hAnsi="Times New Roman"/>
          <w:sz w:val="15"/>
          <w:szCs w:val="15"/>
          <w:color w:val="auto"/>
        </w:rPr>
        <w:t>” means Title 11 of the United States Code (or any successor thereto) or any similar federal or state law for the relief of debtors.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of Directors</w:t>
      </w:r>
      <w:r>
        <w:rPr>
          <w:rFonts w:ascii="Times New Roman" w:cs="Times New Roman" w:eastAsia="Times New Roman" w:hAnsi="Times New Roman"/>
          <w:sz w:val="15"/>
          <w:szCs w:val="15"/>
          <w:color w:val="auto"/>
        </w:rPr>
        <w:t>” means the board of directors of the Company or any duly authorized committee thereof.</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 Resolution</w:t>
      </w:r>
      <w:r>
        <w:rPr>
          <w:rFonts w:ascii="Times New Roman" w:cs="Times New Roman" w:eastAsia="Times New Roman" w:hAnsi="Times New Roman"/>
          <w:sz w:val="15"/>
          <w:szCs w:val="15"/>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other than a (x) Saturday, (y) Sunday or (z) day on which state or federally chartered banking institutions in New York, New York are not required to be open.</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Capital Stock</w:t>
      </w:r>
      <w:r>
        <w:rPr>
          <w:rFonts w:ascii="Times New Roman" w:cs="Times New Roman" w:eastAsia="Times New Roman" w:hAnsi="Times New Roman"/>
          <w:sz w:val="15"/>
          <w:szCs w:val="15"/>
          <w:color w:val="auto"/>
        </w:rPr>
        <w:t>” of any Person means any and all shares, interests, rights to purchase, warrants, options, participations or other equivalents of or interests in (however designated) equity of such Person, but excluding any debt securities convertible into such equity.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Certificated Securities</w:t>
      </w:r>
      <w:r>
        <w:rPr>
          <w:rFonts w:ascii="Times New Roman" w:cs="Times New Roman" w:eastAsia="Times New Roman" w:hAnsi="Times New Roman"/>
          <w:sz w:val="15"/>
          <w:szCs w:val="15"/>
          <w:color w:val="auto"/>
        </w:rPr>
        <w:t>” means Securities in the form of physical, certificated Securities in registered form.</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means the party named as such above until a successor replaces it in accordance with the terms of this Indenture and thereafter means the successor.</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Order</w:t>
      </w:r>
      <w:r>
        <w:rPr>
          <w:rFonts w:ascii="Times New Roman" w:cs="Times New Roman" w:eastAsia="Times New Roman" w:hAnsi="Times New Roman"/>
          <w:sz w:val="15"/>
          <w:szCs w:val="15"/>
          <w:color w:val="auto"/>
        </w:rPr>
        <w:t>” means a written order signed in the name of the Company by two Officers, one of whom must be the Company’s principal executive officer, principal financial officer or principal accounting officer.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Request</w:t>
      </w:r>
      <w:r>
        <w:rPr>
          <w:rFonts w:ascii="Times New Roman" w:cs="Times New Roman" w:eastAsia="Times New Roman" w:hAnsi="Times New Roman"/>
          <w:sz w:val="15"/>
          <w:szCs w:val="15"/>
          <w:color w:val="auto"/>
        </w:rPr>
        <w:t>” means a written request signed in the name of the Company by its Chairman of the Board, a President or a Vice President, and by its Chief Financial Officer, its Secretary or an Assistant Secretary, and delivered to the Trustee.</w:t>
      </w:r>
    </w:p>
    <w:p>
      <w:pPr>
        <w:spacing w:after="0" w:line="12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Corporate Trust Office</w:t>
      </w:r>
      <w:r>
        <w:rPr>
          <w:rFonts w:ascii="Times New Roman" w:cs="Times New Roman" w:eastAsia="Times New Roman" w:hAnsi="Times New Roman"/>
          <w:sz w:val="15"/>
          <w:szCs w:val="15"/>
          <w:color w:val="auto"/>
        </w:rPr>
        <w:t>” means the office of the Trustee at which at any particular time its corporate trust business shall be principally administered which office at the date of the execution of this Indenture is [ ], Attention: [ ], or at such other address as the Trustee may designate from time to time.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Custodian</w:t>
      </w:r>
      <w:r>
        <w:rPr>
          <w:rFonts w:ascii="Times New Roman" w:cs="Times New Roman" w:eastAsia="Times New Roman" w:hAnsi="Times New Roman"/>
          <w:sz w:val="15"/>
          <w:szCs w:val="15"/>
          <w:color w:val="auto"/>
        </w:rPr>
        <w:t>” means any receiver, trustee, assignee, liquidator, sequestrator or similar official under any Bankruptcy Law.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26" w:name="page127"/>
    <w:bookmarkEnd w:id="126"/>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w:t>
      </w:r>
      <w:r>
        <w:rPr>
          <w:rFonts w:ascii="Times New Roman" w:cs="Times New Roman" w:eastAsia="Times New Roman" w:hAnsi="Times New Roman"/>
          <w:sz w:val="15"/>
          <w:szCs w:val="15"/>
          <w:color w:val="auto"/>
        </w:rPr>
        <w:t>” or “default” means any event which is, or after notice or passage of time or both would be, an Event of Default.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Default Rate</w:t>
      </w:r>
      <w:r>
        <w:rPr>
          <w:rFonts w:ascii="Times New Roman" w:cs="Times New Roman" w:eastAsia="Times New Roman" w:hAnsi="Times New Roman"/>
          <w:sz w:val="15"/>
          <w:szCs w:val="15"/>
          <w:color w:val="auto"/>
        </w:rPr>
        <w:t>” means the default rate of interest specified in the Securities.</w:t>
      </w:r>
    </w:p>
    <w:p>
      <w:pPr>
        <w:spacing w:after="0" w:line="194"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Depository</w:t>
      </w:r>
      <w:r>
        <w:rPr>
          <w:rFonts w:ascii="Times New Roman" w:cs="Times New Roman" w:eastAsia="Times New Roman" w:hAnsi="Times New Roman"/>
          <w:sz w:val="15"/>
          <w:szCs w:val="15"/>
          <w:color w:val="auto"/>
        </w:rPr>
        <w:t>” means, with respect to the Securities of any Series issuable or issued in whole or in part in the form of one or more Global Securities, the person designated as Depository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spacing w:after="0" w:line="140"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Discount Security</w:t>
      </w:r>
      <w:r>
        <w:rPr>
          <w:rFonts w:ascii="Times New Roman" w:cs="Times New Roman" w:eastAsia="Times New Roman" w:hAnsi="Times New Roman"/>
          <w:sz w:val="15"/>
          <w:szCs w:val="15"/>
          <w:color w:val="auto"/>
        </w:rPr>
        <w:t>” means any Security that provides for an amount less than the stated principal amount thereof to be due and payable upon declaration of acceleration of the maturity thereof pursuant to Section 6.02.</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Dollars</w:t>
      </w:r>
      <w:r>
        <w:rPr>
          <w:rFonts w:ascii="Times New Roman" w:cs="Times New Roman" w:eastAsia="Times New Roman" w:hAnsi="Times New Roman"/>
          <w:sz w:val="15"/>
          <w:szCs w:val="15"/>
          <w:color w:val="auto"/>
        </w:rPr>
        <w:t>” means the currency of The United States of America.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ECU</w:t>
      </w:r>
      <w:r>
        <w:rPr>
          <w:rFonts w:ascii="Times New Roman" w:cs="Times New Roman" w:eastAsia="Times New Roman" w:hAnsi="Times New Roman"/>
          <w:sz w:val="15"/>
          <w:szCs w:val="15"/>
          <w:color w:val="auto"/>
        </w:rPr>
        <w:t>” means the European Currency Unit as determined by the Commission of the European Union.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Currency</w:t>
      </w:r>
      <w:r>
        <w:rPr>
          <w:rFonts w:ascii="Times New Roman" w:cs="Times New Roman" w:eastAsia="Times New Roman" w:hAnsi="Times New Roman"/>
          <w:sz w:val="15"/>
          <w:szCs w:val="15"/>
          <w:color w:val="auto"/>
        </w:rPr>
        <w:t>” means any currency or currency unit issued by a government other than the government of The United States of America.</w:t>
      </w:r>
    </w:p>
    <w:p>
      <w:pPr>
        <w:spacing w:after="0" w:line="194"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Foreign Government Obligations</w:t>
      </w:r>
      <w:r>
        <w:rPr>
          <w:rFonts w:ascii="Times New Roman" w:cs="Times New Roman" w:eastAsia="Times New Roman" w:hAnsi="Times New Roman"/>
          <w:sz w:val="15"/>
          <w:szCs w:val="15"/>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4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Global 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Global Securities</w:t>
      </w:r>
      <w:r>
        <w:rPr>
          <w:rFonts w:ascii="Times New Roman" w:cs="Times New Roman" w:eastAsia="Times New Roman" w:hAnsi="Times New Roman"/>
          <w:sz w:val="15"/>
          <w:szCs w:val="15"/>
          <w:color w:val="auto"/>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Securityholder</w:t>
      </w:r>
      <w:r>
        <w:rPr>
          <w:rFonts w:ascii="Times New Roman" w:cs="Times New Roman" w:eastAsia="Times New Roman" w:hAnsi="Times New Roman"/>
          <w:sz w:val="15"/>
          <w:szCs w:val="15"/>
          <w:color w:val="auto"/>
        </w:rPr>
        <w:t>” means a person in whose name a Security is registered.</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w:t>
      </w:r>
      <w:r>
        <w:rPr>
          <w:rFonts w:ascii="Times New Roman" w:cs="Times New Roman" w:eastAsia="Times New Roman" w:hAnsi="Times New Roman"/>
          <w:sz w:val="15"/>
          <w:szCs w:val="15"/>
          <w:color w:val="auto"/>
        </w:rPr>
        <w:t>” means this Indenture as amended and supplemented from time to time and shall include the form and terms of particular Series of Securities established as contemplated hereunder.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Interest</w:t>
      </w:r>
      <w:r>
        <w:rPr>
          <w:rFonts w:ascii="Times New Roman" w:cs="Times New Roman" w:eastAsia="Times New Roman" w:hAnsi="Times New Roman"/>
          <w:sz w:val="15"/>
          <w:szCs w:val="15"/>
          <w:color w:val="auto"/>
        </w:rPr>
        <w:t>,” in respect of the Securities, unless the context otherwise requires, refers to interest payable on the Securities, including any additional interest that may become payable pursuant to Section 6.02(b).</w:t>
      </w:r>
    </w:p>
    <w:p>
      <w:pPr>
        <w:spacing w:after="0" w:line="125"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Maturity</w:t>
      </w:r>
      <w:r>
        <w:rPr>
          <w:rFonts w:ascii="Times New Roman" w:cs="Times New Roman" w:eastAsia="Times New Roman" w:hAnsi="Times New Roman"/>
          <w:sz w:val="15"/>
          <w:szCs w:val="15"/>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spacing w:after="0" w:line="140" w:lineRule="exact"/>
        <w:rPr>
          <w:sz w:val="20"/>
          <w:szCs w:val="20"/>
          <w:color w:val="auto"/>
        </w:rPr>
      </w:pPr>
    </w:p>
    <w:p>
      <w:pPr>
        <w:jc w:val="both"/>
        <w:ind w:firstLine="549"/>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w:t>
      </w:r>
      <w:r>
        <w:rPr>
          <w:rFonts w:ascii="Times New Roman" w:cs="Times New Roman" w:eastAsia="Times New Roman" w:hAnsi="Times New Roman"/>
          <w:sz w:val="15"/>
          <w:szCs w:val="15"/>
          <w:color w:val="auto"/>
        </w:rPr>
        <w:t>” means the Chairman of the Board, the President, any Vice-President, the Treasurer, the Secretary, any Assistant Treasurer or any Assistant Secretary of the Company.</w:t>
      </w:r>
    </w:p>
    <w:p>
      <w:pPr>
        <w:spacing w:after="0" w:line="358"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Officers’ Certificate</w:t>
      </w:r>
      <w:r>
        <w:rPr>
          <w:rFonts w:ascii="Times New Roman" w:cs="Times New Roman" w:eastAsia="Times New Roman" w:hAnsi="Times New Roman"/>
          <w:sz w:val="15"/>
          <w:szCs w:val="15"/>
          <w:color w:val="auto"/>
        </w:rPr>
        <w:t>” means a certificate signed by two Officers, one of whom must be the Company’s principal executive officer, principal financial officer or principal accounting officer.</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Opinion of Counsel</w:t>
      </w:r>
      <w:r>
        <w:rPr>
          <w:rFonts w:ascii="Times New Roman" w:cs="Times New Roman" w:eastAsia="Times New Roman" w:hAnsi="Times New Roman"/>
          <w:sz w:val="15"/>
          <w:szCs w:val="15"/>
          <w:color w:val="auto"/>
        </w:rPr>
        <w:t>” means a written opinion of legal counsel who is, and which opinion is, acceptable to the Trustee and its counsel. Such legal counsel may be an employee of or counsel to the Company or the Trustee.</w:t>
      </w:r>
    </w:p>
    <w:p>
      <w:pPr>
        <w:spacing w:after="0" w:line="125"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corporation, partnership, joint venture, association, limited liability company, joint-stock company, trust, unincorporated organization or government or any agency or political subdivision thereof.</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Principal</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principal</w:t>
      </w:r>
      <w:r>
        <w:rPr>
          <w:rFonts w:ascii="Times New Roman" w:cs="Times New Roman" w:eastAsia="Times New Roman" w:hAnsi="Times New Roman"/>
          <w:sz w:val="15"/>
          <w:szCs w:val="15"/>
          <w:color w:val="auto"/>
        </w:rPr>
        <w:t>” of a Security means the principal of the Security plus, when appropriate, the premium, if any, on, and any Additional Amounts in respect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27" w:name="page128"/>
    <w:bookmarkEnd w:id="127"/>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Responsible Officer</w:t>
      </w:r>
      <w:r>
        <w:rPr>
          <w:rFonts w:ascii="Times New Roman" w:cs="Times New Roman" w:eastAsia="Times New Roman" w:hAnsi="Times New Roman"/>
          <w:sz w:val="15"/>
          <w:szCs w:val="15"/>
          <w:color w:val="auto"/>
        </w:rPr>
        <w:t>” means any officer of the Trustee in its Corporate Trust Office and also means, any vice president, managing director, director, associate, assistant vice president, or any other officer of the Trustee customarily performing functions similar to those performed by any of the above designated officers and also, with respect to a particular corporate trust matter, any other officer to whom any corporate trust matter is referred because of his or her knowledge of and familiarity with a particular subject.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Securities and Exchange Commission.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Securities</w:t>
      </w:r>
      <w:r>
        <w:rPr>
          <w:rFonts w:ascii="Times New Roman" w:cs="Times New Roman" w:eastAsia="Times New Roman" w:hAnsi="Times New Roman"/>
          <w:sz w:val="15"/>
          <w:szCs w:val="15"/>
          <w:color w:val="auto"/>
        </w:rPr>
        <w:t>” means the debentures, notes or other debt instruments of the Company of any Series authenticated and delivered under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Series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Series of Securities</w:t>
      </w:r>
      <w:r>
        <w:rPr>
          <w:rFonts w:ascii="Times New Roman" w:cs="Times New Roman" w:eastAsia="Times New Roman" w:hAnsi="Times New Roman"/>
          <w:sz w:val="15"/>
          <w:szCs w:val="15"/>
          <w:color w:val="auto"/>
        </w:rPr>
        <w:t>” means each series of debentures, notes or other debt instruments of the Company created pursuant to Sections 2.01 and 2.02 hereof.</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Stated Maturity</w:t>
      </w:r>
      <w:r>
        <w:rPr>
          <w:rFonts w:ascii="Times New Roman" w:cs="Times New Roman" w:eastAsia="Times New Roman" w:hAnsi="Times New Roman"/>
          <w:sz w:val="15"/>
          <w:szCs w:val="15"/>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Subordinated Indebtedness</w:t>
      </w:r>
      <w:r>
        <w:rPr>
          <w:rFonts w:ascii="Times New Roman" w:cs="Times New Roman" w:eastAsia="Times New Roman" w:hAnsi="Times New Roman"/>
          <w:sz w:val="15"/>
          <w:szCs w:val="15"/>
          <w:color w:val="auto"/>
        </w:rPr>
        <w:t>” means any indebtedness which is expressly subordinated to the indebtedness evidenced by Securities.</w:t>
      </w:r>
    </w:p>
    <w:p>
      <w:pPr>
        <w:spacing w:after="0" w:line="194" w:lineRule="exact"/>
        <w:rPr>
          <w:sz w:val="20"/>
          <w:szCs w:val="20"/>
          <w:color w:val="auto"/>
        </w:rPr>
      </w:pPr>
    </w:p>
    <w:p>
      <w:pPr>
        <w:jc w:val="both"/>
        <w:ind w:firstLine="54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in respect of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45" w:lineRule="exact"/>
        <w:rPr>
          <w:sz w:val="20"/>
          <w:szCs w:val="20"/>
          <w:color w:val="auto"/>
        </w:rPr>
      </w:pPr>
    </w:p>
    <w:p>
      <w:pPr>
        <w:jc w:val="both"/>
        <w:ind w:right="2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TIA</w:t>
      </w:r>
      <w:r>
        <w:rPr>
          <w:rFonts w:ascii="Times New Roman" w:cs="Times New Roman" w:eastAsia="Times New Roman" w:hAnsi="Times New Roman"/>
          <w:sz w:val="15"/>
          <w:szCs w:val="15"/>
          <w:color w:val="auto"/>
        </w:rPr>
        <w:t>” means the Trust Indenture Act of 1939 (15 U.S. Code Sections 77aaa-77bbbb) as in effect on the date of this Indenture; provided, however, that in the event the Trust Indenture Act of 1939 is amended after such date, “TIA” means, to the extent required by any such amendment, the Trust Indenture Act as so amended.</w:t>
      </w:r>
    </w:p>
    <w:p>
      <w:pPr>
        <w:spacing w:after="0" w:line="125" w:lineRule="exact"/>
        <w:rPr>
          <w:sz w:val="20"/>
          <w:szCs w:val="20"/>
          <w:color w:val="auto"/>
        </w:rPr>
      </w:pPr>
    </w:p>
    <w:p>
      <w:pPr>
        <w:jc w:val="both"/>
        <w:ind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0" w:lineRule="exact"/>
        <w:rPr>
          <w:sz w:val="20"/>
          <w:szCs w:val="20"/>
          <w:color w:val="auto"/>
        </w:rPr>
      </w:pPr>
    </w:p>
    <w:p>
      <w:pPr>
        <w:jc w:val="both"/>
        <w:ind w:right="20" w:firstLine="549"/>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U.S. Government Obligations</w:t>
      </w:r>
      <w:r>
        <w:rPr>
          <w:rFonts w:ascii="Times New Roman" w:cs="Times New Roman" w:eastAsia="Times New Roman" w:hAnsi="Times New Roman"/>
          <w:sz w:val="15"/>
          <w:szCs w:val="15"/>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2"/>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SECTION 1.02.  Other Definitions.</w:t>
            </w:r>
          </w:p>
        </w:tc>
        <w:tc>
          <w:tcPr>
            <w:tcW w:w="1240" w:type="dxa"/>
            <w:vAlign w:val="bottom"/>
          </w:tcPr>
          <w:p>
            <w:pPr>
              <w:spacing w:after="0"/>
              <w:rPr>
                <w:sz w:val="15"/>
                <w:szCs w:val="15"/>
                <w:color w:val="auto"/>
              </w:rPr>
            </w:pPr>
          </w:p>
        </w:tc>
      </w:tr>
      <w:tr>
        <w:trPr>
          <w:trHeight w:val="366"/>
        </w:trPr>
        <w:tc>
          <w:tcPr>
            <w:tcW w:w="1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DEFINED IN</w:t>
            </w:r>
          </w:p>
        </w:tc>
      </w:tr>
      <w:tr>
        <w:trPr>
          <w:trHeight w:val="201"/>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TERM</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SECTION</w:t>
            </w:r>
          </w:p>
        </w:tc>
      </w:tr>
      <w:tr>
        <w:trPr>
          <w:trHeight w:val="183"/>
        </w:trPr>
        <w:tc>
          <w:tcPr>
            <w:tcW w:w="99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“Applicable Law”</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10.18</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“Event of Default”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6.01</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“Instrument”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6.01</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“Journal”</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“Judgment Currency”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“Legal Holiday”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10.08</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“mandatory sinking fund payment”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11.01</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“Market Exchange 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10.16</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 Banking Day”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“optional sinking fund payment”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11.01</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“Paying Agent”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2.04</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“Registrar”</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2.04</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“Required Currency”</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10.17</w:t>
            </w:r>
          </w:p>
        </w:tc>
      </w:tr>
      <w:tr>
        <w:trPr>
          <w:trHeight w:val="183"/>
        </w:trPr>
        <w:tc>
          <w:tcPr>
            <w:tcW w:w="10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“successor person”</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5.01</w:t>
            </w:r>
          </w:p>
        </w:tc>
      </w:tr>
      <w:tr>
        <w:trPr>
          <w:trHeight w:val="183"/>
        </w:trPr>
        <w:tc>
          <w:tcPr>
            <w:tcW w:w="10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“Temporary Securities”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2.11</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u w:val="single" w:color="auto"/>
          <w:color w:val="auto"/>
        </w:rPr>
        <w:t>Incorporation by Reference of Trust Indenture Act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Whenever this Indenture refers to a provision of the TIA, the provision is incorporated by reference in and made a part of this Indenture. This Indenture shall also include those provisions of the TIA required to be included herein by the provisions of the Trust Indenture Reform Act of 1990. The following TIA terms used in this Indenture have the following meanings:</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securities</w:t>
      </w:r>
      <w:r>
        <w:rPr>
          <w:rFonts w:ascii="Times New Roman" w:cs="Times New Roman" w:eastAsia="Times New Roman" w:hAnsi="Times New Roman"/>
          <w:sz w:val="15"/>
          <w:szCs w:val="15"/>
          <w:color w:val="auto"/>
        </w:rPr>
        <w:t>” means the Securities.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security holder</w:t>
      </w:r>
      <w:r>
        <w:rPr>
          <w:rFonts w:ascii="Times New Roman" w:cs="Times New Roman" w:eastAsia="Times New Roman" w:hAnsi="Times New Roman"/>
          <w:sz w:val="15"/>
          <w:szCs w:val="15"/>
          <w:color w:val="auto"/>
        </w:rPr>
        <w:t>” means a Securityholder.</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to be qualified</w:t>
      </w:r>
      <w:r>
        <w:rPr>
          <w:rFonts w:ascii="Times New Roman" w:cs="Times New Roman" w:eastAsia="Times New Roman" w:hAnsi="Times New Roman"/>
          <w:sz w:val="15"/>
          <w:szCs w:val="15"/>
          <w:color w:val="auto"/>
        </w:rPr>
        <w:t>” means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indenture trustee</w:t>
      </w:r>
      <w:r>
        <w:rPr>
          <w:rFonts w:ascii="Times New Roman" w:cs="Times New Roman" w:eastAsia="Times New Roman" w:hAnsi="Times New Roman"/>
          <w:sz w:val="15"/>
          <w:szCs w:val="15"/>
          <w:color w:val="auto"/>
        </w:rPr>
        <w:t>” or “institutional trustee” means the Trustee.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obligor</w:t>
      </w:r>
      <w:r>
        <w:rPr>
          <w:rFonts w:ascii="Times New Roman" w:cs="Times New Roman" w:eastAsia="Times New Roman" w:hAnsi="Times New Roman"/>
          <w:sz w:val="15"/>
          <w:szCs w:val="15"/>
          <w:color w:val="auto"/>
        </w:rPr>
        <w:t>” on the indenture securities means the Company and any successor obligor upon the Securities.</w:t>
      </w:r>
    </w:p>
    <w:p>
      <w:pPr>
        <w:spacing w:after="0" w:line="198"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All other terms used in this Indenture that are defined by the TIA, defined by TIA reference to another statute or defined by SEC rule under the TIA and not otherwise defined herein are used herein as so defined.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u w:val="single" w:color="auto"/>
          <w:color w:val="auto"/>
        </w:rPr>
        <w:t>Rules of Construction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Unless the context otherwise requires:</w:t>
      </w:r>
    </w:p>
    <w:p>
      <w:pPr>
        <w:spacing w:after="0" w:line="194" w:lineRule="exact"/>
        <w:rPr>
          <w:sz w:val="20"/>
          <w:szCs w:val="20"/>
          <w:color w:val="auto"/>
        </w:rPr>
      </w:pPr>
    </w:p>
    <w:p>
      <w:pPr>
        <w:ind w:left="740" w:hanging="199"/>
        <w:spacing w:after="0"/>
        <w:tabs>
          <w:tab w:leader="none" w:pos="7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term has the meaning assigned to it;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accounting term not otherwise defined has the meaning assigned to it in accordance with generally accepted accounting principles;</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65"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“generally accepted accounting principles” shall mean generally accepted accounting principles in effect as of the time when and for the period as to which such accounting principles are to be applied;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is not exclusive;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words in the singular include the plural, and in the plural include the singular;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apply to successive events and transactions;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agreements and other instruments include subsequent amendments thereto;</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“merger” includes a statutory share exchange, and the term “merged” has a correlative meaning; and</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“herein,” “hereof” and other words of similar import refer to this Indenture as a whole and not to any particular Article, Section or other subdivision.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THE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u w:val="single" w:color="auto"/>
          <w:color w:val="auto"/>
        </w:rPr>
        <w:t>Issuable in Series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2.02.  </w:t>
      </w:r>
      <w:r>
        <w:rPr>
          <w:rFonts w:ascii="Times New Roman" w:cs="Times New Roman" w:eastAsia="Times New Roman" w:hAnsi="Times New Roman"/>
          <w:sz w:val="15"/>
          <w:szCs w:val="15"/>
          <w:u w:val="single" w:color="auto"/>
          <w:color w:val="auto"/>
        </w:rPr>
        <w:t>Establishment of Terms of Series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At or prior to the issuance of any Securities within a Series, the following shall be established (as to the Series generally, in the case of Subsection (a), and either as to such Securities within the Series or as to the Series generally in the case of Subsections (b) through (t) by a Board Resolution, a supplemental indenture or an Officers’ Certificate pursuant to authority granted under a Board Resolution:</w:t>
      </w:r>
    </w:p>
    <w:p>
      <w:pPr>
        <w:spacing w:after="0" w:line="146" w:lineRule="exact"/>
        <w:rPr>
          <w:sz w:val="20"/>
          <w:szCs w:val="20"/>
          <w:color w:val="auto"/>
        </w:rPr>
      </w:pPr>
    </w:p>
    <w:p>
      <w:pPr>
        <w:ind w:left="740" w:hanging="199"/>
        <w:spacing w:after="0"/>
        <w:tabs>
          <w:tab w:leader="none" w:pos="7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designation, aggregate principal amount and authorized denominations of the Securities of the Series;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or prices, (expressed as a percentage of the aggregate principal amount thereof) at which the Securities of the Series will be issued;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on which the principal of the Securities of the Series is payable;</w:t>
      </w:r>
    </w:p>
    <w:p>
      <w:pPr>
        <w:spacing w:after="0" w:line="193" w:lineRule="exact"/>
        <w:rPr>
          <w:rFonts w:ascii="Times New Roman" w:cs="Times New Roman" w:eastAsia="Times New Roman" w:hAnsi="Times New Roman"/>
          <w:sz w:val="15"/>
          <w:szCs w:val="15"/>
          <w:color w:val="auto"/>
        </w:rPr>
      </w:pPr>
    </w:p>
    <w:p>
      <w:pPr>
        <w:jc w:val="both"/>
        <w:ind w:right="20" w:firstLine="541"/>
        <w:spacing w:after="0" w:line="272" w:lineRule="auto"/>
        <w:tabs>
          <w:tab w:leader="none" w:pos="76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commence and be payable and any regular record date for the interest payable on any interest payment date;</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8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optional or mandatory sinking fund provisions or conversion or exchangeability provisions upon which Securities of the Series shall be redeemed, purchased, converted or exchanged;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44"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if any, after which and the price or prices at which the Securities of the Series may be optionally redeemed or must be mandatorily redeemed and any other terms and provisions of optional or mandatory provisions;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denominations of $1,000 and any integral multiple thereof, the denominations in which the Securities of the Series shall be issuable;</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71"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full principal amount, the portion of the principal amount of the Securities of the Series that shall be payable upon declaration of acceleration pursuant to Section 6.02 or provable in bankruptcy;</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38"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0" w:name="page131"/>
    <w:bookmarkEnd w:id="130"/>
    <w:p>
      <w:pPr>
        <w:ind w:right="20" w:firstLine="541"/>
        <w:spacing w:after="0" w:line="290" w:lineRule="auto"/>
        <w:tabs>
          <w:tab w:leader="none" w:pos="735"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or currencies, including composite currencies, in which payments of principal of, premium or interest, if any, on the Securities of the Series will be payable, if other than the currency of the United States of America;</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78"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principal of, premium or interest, if any, on the Securities of the Series will be payable, at the Company’s election or at the election of any Holder, in a currency other than that in which the Securities of the Series are stated to be payable, the period or periods within which, and the terms and conditions upon which, the election may be made;</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33"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payments of interest, if any, on the Securities of the Series will be payable, at the Company’s election or at the election of any Holder, in cash or additional securities, and the terms and conditions upon which the election may be made;</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815"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denominated in a currency or currencies other than the currency of the United States of America, the equivalent price of the Securities of the Series in the currency of the United States of America for purposes of determining the voting rights of Holders of the Securities of the Series;</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68"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amount of payments of principal, premium or interest may be determined with reference to an index, formula or other method based on a coin or currency other than that in which the Securities of the Series are stated to be payable, the manner in which the amounts will be determined;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restrictive covenants or other material terms relating to the Securities of the Series;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will be issued in the form of global securities or certificates in registered form;</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terms with respect to subordination;</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on any securities exchange or quotation system;</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provisions, if any, related to defeasance and discharge of the offered debt securities; and</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any guarantees, which would be governed by New York law.</w:t>
      </w:r>
    </w:p>
    <w:p>
      <w:pPr>
        <w:spacing w:after="0" w:line="19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All Securities of any one Series need not be issued at the same time and may be issued from time to time, consistent with the terms of this Indenture, if so provided by or pursuant to the Board Resolution, supplemental indenture or Officers’ Certificate referred to above, and the authorized principal amount of any Series may not be increased to provide for issuance of additional Securities of such Series, unless otherwise provided in such Board Resolution, supplemental Indenture or Officers’ Certificate.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u w:val="single" w:color="auto"/>
          <w:color w:val="auto"/>
        </w:rPr>
        <w:t>Execution and Authentication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Two Officers shall sign the Securities for the Company by manual or facsimile signature.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an Officer whose signature is on a Security no longer holds that office at the time the Security is authenticated, the Security shall nevertheless be valid.</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1" w:name="page132"/>
    <w:bookmarkEnd w:id="131"/>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w:t>
      </w:r>
    </w:p>
    <w:p>
      <w:pPr>
        <w:spacing w:after="0" w:line="146"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Trustee shall have the right to decline to authenticate and deliver any Securities of such Series: (a) if the Trustee, being advised by counsel, determines that such action may not lawfully be taken; or (b) if a Responsible Officer of the Trustee in good faith shall determine that such action would expose the Trustee to personal liability to Holders of any then outstanding Series of Securities.</w:t>
      </w:r>
    </w:p>
    <w:p>
      <w:pPr>
        <w:spacing w:after="0" w:line="146"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w:t>
      </w:r>
    </w:p>
    <w:p>
      <w:pPr>
        <w:spacing w:after="0" w:line="146"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If any successor that has replaced the Company in accordance with Article 5 has executed an indenture supplemental hereto with the Trustee pursuant to Section 5.01, any of the Securities authenticated or delivered prior to such transaction may, from time to time, at the request of such successor, be exchanged for other Securities executed in the name of the such successor with such changes in phraseology and form as may be appropriate, but otherwise identical to the Securities surrendered for such exchange and of like principal amount; and the Trustee, upon receipt of a Company Order of such successor, shall authenticate and deliver Securities as specified in such order for the purpose of such exchange. If Securities shall at any time be authenticated and delivered in any new name of such successor pursuant to this provision of Section 2.03 in exchange or substitution for or upon registration of transfer of any Securities, such successor, at the option of the Holders but without expense to them, shall provide for the exchange of all Securities then outstanding for Securities authenticated and delivered in such new name.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2.04.  </w:t>
      </w:r>
      <w:r>
        <w:rPr>
          <w:rFonts w:ascii="Times New Roman" w:cs="Times New Roman" w:eastAsia="Times New Roman" w:hAnsi="Times New Roman"/>
          <w:sz w:val="15"/>
          <w:szCs w:val="15"/>
          <w:u w:val="single" w:color="auto"/>
          <w:color w:val="auto"/>
        </w:rPr>
        <w:t>Registrar and Paying Agent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shall maintain, with respect to each Series of Securities, at the place or places specified with respect to such Series pursuant to Section 2.02, an office or agency where Securities of such Series may be presented or surrendered for payment (“Paying Agent”) and where Securities of such Series may be surrendered for registration of transfer or exchange (“Registrar”). The Registrar shall keep a register with respect to each Series of Securities and to their transfer and exchange. The Company will give prompt written notice to the Trustee of the name and address, and any change in the name or address, of each Registrar and Paying Agent. If at any time the Company shall fail to maintain any such required Registrar or Paying Agent or shall fail to furnish the Trustee with the name and address thereof, such presentations and surrenders may be made or served at the Corporate Trust Office of the Trustee, and the Company hereby appoints the Trustee as its agent to receive all such presentations and surrenders.</w:t>
      </w:r>
    </w:p>
    <w:p>
      <w:pPr>
        <w:spacing w:after="0" w:line="157"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The Company may also from time to time designate one or more co-registrars or additional paying agents and may from time to time rescind such designations; provided, however, that no such designation or rescission shall in any manner relieve the Company of its obligations to maintain a Registrar or Paying Agent in each place so specified pursuant to Section 2.02 for Securities of any Series for such purposes. The Company will give prompt written notice to the Trustee of any such designation or rescission and of any change in the name or address of any such co-registrar or additional paying agent. The term “Registrar” includes any co-registrar; and the term “Paying Agent” includes any additional paying agent.</w:t>
      </w:r>
    </w:p>
    <w:p>
      <w:pPr>
        <w:spacing w:after="0" w:line="337"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 hereby appoints [ ] as the initial Registrar and Paying Agent for each Series unless another Registrar or Paying Agent as the case may be, is appointed prior to the time Securities of that Series are first issued. Each Registrar and Paying Agent shall be entitled to all of the rights, protections, exculpations and indemnities afforded to the Trustee in connection with its roles as Registrar and Paying Agent.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5"/>
          <w:szCs w:val="15"/>
          <w:color w:val="auto"/>
        </w:rPr>
        <w:t xml:space="preserve">SECTION 2.05.  </w:t>
      </w:r>
      <w:r>
        <w:rPr>
          <w:rFonts w:ascii="Times New Roman" w:cs="Times New Roman" w:eastAsia="Times New Roman" w:hAnsi="Times New Roman"/>
          <w:sz w:val="15"/>
          <w:szCs w:val="15"/>
          <w:u w:val="single" w:color="auto"/>
          <w:color w:val="auto"/>
        </w:rPr>
        <w:t>Paying Agent to Hold Money in Trust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Securityholders of any Series of Securities all money held by it as Paying Agent.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2.06.  </w:t>
      </w:r>
      <w:r>
        <w:rPr>
          <w:rFonts w:ascii="Times New Roman" w:cs="Times New Roman" w:eastAsia="Times New Roman" w:hAnsi="Times New Roman"/>
          <w:sz w:val="15"/>
          <w:szCs w:val="15"/>
          <w:u w:val="single" w:color="auto"/>
          <w:color w:val="auto"/>
        </w:rPr>
        <w:t>Securityholder Lists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The Trustee shall preserve in as current a form as is reasonably practicable the most recent list available to it of the names and addresses of Securityholders of each Series of Securities and shall otherwise comply with TIA Section 312(a). If the Trustee is not the Registrar, the Company shall furnish to the Trustee at least [ ]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2.07.  </w:t>
      </w:r>
      <w:r>
        <w:rPr>
          <w:rFonts w:ascii="Times New Roman" w:cs="Times New Roman" w:eastAsia="Times New Roman" w:hAnsi="Times New Roman"/>
          <w:sz w:val="15"/>
          <w:szCs w:val="15"/>
          <w:u w:val="single" w:color="auto"/>
          <w:color w:val="auto"/>
        </w:rPr>
        <w:t>Transfer and Exchange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Any exchange or transfer shall be without charge, except that the Company or the Registrar may require payment of a sum sufficient to cover any tax or other governmental charge required by law; provided that this sentence shall not apply to any exchange pursuant to Section 2.11, 2.08, 3.06 or 9.06.</w:t>
      </w:r>
    </w:p>
    <w:p>
      <w:pPr>
        <w:spacing w:after="0" w:line="151"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Neither the Company nor the Registrar shall be required (a) to issue, register the transfer of, or exchange Securities of any Series for the period beginning at the opening of business [ ]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51"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All Securities issued upon any transfer or exchange of Securities shall be valid obligations of the Company, evidencing the same debt and entitled to the same benefits under this Indenture, as the Securities surrendered upon such transfer or exchange. Any Registrar appointed pursuant to Section 2.04 shall provide to the Trustee such information as the Trustee may reasonably require in connection with the delivery by such Registrar of Securities upon transfer or exchange of Securities. Each Holder of a Security agrees to indemnify the Company and the Trustee against any liability that may result from the transfer, exchange or assignment of such Holder’s Security in violation of any provision of this Indenture and/or applicable U.S. federal or state securities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2.08.  </w:t>
      </w:r>
      <w:r>
        <w:rPr>
          <w:rFonts w:ascii="Times New Roman" w:cs="Times New Roman" w:eastAsia="Times New Roman" w:hAnsi="Times New Roman"/>
          <w:sz w:val="15"/>
          <w:szCs w:val="15"/>
          <w:u w:val="single" w:color="auto"/>
          <w:color w:val="auto"/>
        </w:rPr>
        <w:t>Mutilated, Destroyed, Lost and Stolen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any mutilated Security is surrendered to the Registrar, the Company shall execute and the Trustee shall authenticate and deliver in exchange therefor a new Security of the same Series and of like tenor and principal amount and bearing a number not contemporaneously outstanding.</w:t>
      </w:r>
    </w:p>
    <w:p>
      <w:pPr>
        <w:spacing w:after="0" w:line="133"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If there shall be delivered to the Company and the Registrar (i) evidence to their satisfaction of the destruction, loss or theft of any Security and (ii) such security or indemnity as may be required by them to save each of them and any agent of either of them harmless, then, in the absence of notice to the Company or the Registrar that such Security has been acquired by a bona fide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3" w:name="page134"/>
    <w:bookmarkEnd w:id="133"/>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In case any such mutilated, destroyed, lost or stolen Security has become or is about to become due and payable, the Company in its discretion may, instead of issuing a new Security, pay such Security.</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6"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2.09.  </w:t>
      </w:r>
      <w:r>
        <w:rPr>
          <w:rFonts w:ascii="Times New Roman" w:cs="Times New Roman" w:eastAsia="Times New Roman" w:hAnsi="Times New Roman"/>
          <w:sz w:val="15"/>
          <w:szCs w:val="15"/>
          <w:u w:val="single" w:color="auto"/>
          <w:color w:val="auto"/>
        </w:rPr>
        <w:t>Outstanding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a Security is replaced pursuant to Section 2.08, it ceases to be outstanding until the Trustee receives proof satisfactory to it that the replaced Security is held by a bona fide purchaser.</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the Paying Agent (other than the Company, a Subsidiary or an Affiliate of any thereof) holds on the Maturity of Securities of a Series money sufficient to pay such Securities payable on that date, then on and after that date such Securities of the Series cease to be outstanding and interest on them ceases to accrue.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Security does not cease to be outstanding because the Company or an Affiliate holds the Security.</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2.10.  </w:t>
      </w:r>
      <w:r>
        <w:rPr>
          <w:rFonts w:ascii="Times New Roman" w:cs="Times New Roman" w:eastAsia="Times New Roman" w:hAnsi="Times New Roman"/>
          <w:sz w:val="15"/>
          <w:szCs w:val="15"/>
          <w:u w:val="single" w:color="auto"/>
          <w:color w:val="auto"/>
        </w:rPr>
        <w:t>Treasury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determining whether the Holders of the required principal amount of Securities of a Series have concurred in any request, demand, authorization, direction, notice, consent or waiver Securities of a Series owned by the Company or an Affiliate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2.11.  </w:t>
      </w:r>
      <w:r>
        <w:rPr>
          <w:rFonts w:ascii="Times New Roman" w:cs="Times New Roman" w:eastAsia="Times New Roman" w:hAnsi="Times New Roman"/>
          <w:sz w:val="15"/>
          <w:szCs w:val="15"/>
          <w:u w:val="single" w:color="auto"/>
          <w:color w:val="auto"/>
        </w:rPr>
        <w:t>Temporary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Until definitive Securities are ready for delivery, the Company may prepare and the Trustee shall authenticate temporary securities upon a Company Order (“Temporary Securities”). Temporary Securities shall be substantially in the form of definitive Securities but may have variations that the Company considers appropriate for temporary Securities. Without unreasonable delay, the Company shall prepare and the Trustee upon written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color w:val="auto"/>
        </w:rPr>
        <w:t xml:space="preserve">SECTION 2.12.  </w:t>
      </w:r>
      <w:r>
        <w:rPr>
          <w:rFonts w:ascii="Times New Roman" w:cs="Times New Roman" w:eastAsia="Times New Roman" w:hAnsi="Times New Roman"/>
          <w:sz w:val="15"/>
          <w:szCs w:val="15"/>
          <w:u w:val="single" w:color="auto"/>
          <w:color w:val="auto"/>
        </w:rPr>
        <w:t>Cancellation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at any time may deliver Securities to the Trustee for cancellation. The Registrar and the Paying Agent shall forward to the Trustee or its agent any Securities surrendered to them for transfer, exchange, payment or conversion. The Trustee and no one else shall cancel, in accordance with its standard procedures, all Securities surrendered for transfer, exchange, payment, conversion or cancellation and shall deliver the cancelled Securities to the Company. No Security shall be authenticated in exchange for any Security cancelled pursuant to this Section 2.12.</w:t>
      </w:r>
    </w:p>
    <w:p>
      <w:pPr>
        <w:spacing w:after="0" w:line="151"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The Company may, to the extent permitted by law, purchase Securities in the open market or by tender offer at any price or by private agreement. Any Securities purchased or otherwise acquired by the Company or any of its Subsidiaries prior to the final maturity of such Securities may, to the extent permitted by law, be reissued or resold or may, at the option of the Company, be surrendered to the Trustee for cancellation. Any Securities surrendered for cancellation may not be reissued or resold and shall be promptly cancelled by the Trustee, and the Company may not hold or resell such Securities or issue any new Securities to replace any such Securities.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2.13.  </w:t>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If the Company defaults in a payment of interest on a Series of Securities, it shall pay defaulted interest, plus, to the extent permitted by law, any interest payable on the defaulted interest at the Default Rate, to the persons who are Security holders of the Series on a subsequent special record date. The Company shall fix the record date and payment date. At least [ ] days before the record date, the Company shall mail to the Trustee and the Paying Agent and to each Securityholder of the Series a notice that states the record date, the payment date and the amount of interest to be paid. The Company may pay defaulted interest in any other lawful manner.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2.14.  </w:t>
      </w:r>
      <w:r>
        <w:rPr>
          <w:rFonts w:ascii="Times New Roman" w:cs="Times New Roman" w:eastAsia="Times New Roman" w:hAnsi="Times New Roman"/>
          <w:sz w:val="15"/>
          <w:szCs w:val="15"/>
          <w:u w:val="single" w:color="auto"/>
          <w:color w:val="auto"/>
        </w:rPr>
        <w:t>Global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541"/>
        <w:spacing w:after="0" w:line="290" w:lineRule="auto"/>
        <w:tabs>
          <w:tab w:leader="none" w:pos="763"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spacing w:after="0" w:line="132" w:lineRule="exact"/>
        <w:rPr>
          <w:rFonts w:ascii="Times New Roman" w:cs="Times New Roman" w:eastAsia="Times New Roman" w:hAnsi="Times New Roman"/>
          <w:sz w:val="15"/>
          <w:szCs w:val="15"/>
          <w:color w:val="auto"/>
        </w:rPr>
      </w:pPr>
    </w:p>
    <w:p>
      <w:pPr>
        <w:jc w:val="both"/>
        <w:ind w:firstLine="541"/>
        <w:spacing w:after="0" w:line="262" w:lineRule="auto"/>
        <w:tabs>
          <w:tab w:leader="none" w:pos="766"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(A)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within 90 days of such event, (B) the Company executes and delivers to the Trustee an Officers’ Certificate to the effect that such Global Security shall be so exchangeable or (C) an Event of Default with respect to the Securities represented by such Global Security shall have happened and be continuing.</w:t>
      </w:r>
    </w:p>
    <w:p>
      <w:pPr>
        <w:spacing w:after="0" w:line="340" w:lineRule="exact"/>
        <w:rPr>
          <w:rFonts w:ascii="Times New Roman" w:cs="Times New Roman" w:eastAsia="Times New Roman" w:hAnsi="Times New Roman"/>
          <w:sz w:val="15"/>
          <w:szCs w:val="15"/>
          <w:color w:val="auto"/>
        </w:rPr>
      </w:pPr>
    </w:p>
    <w:p>
      <w:pPr>
        <w:jc w:val="both"/>
        <w:ind w:left="540" w:firstLine="551"/>
        <w:spacing w:after="0" w:line="272" w:lineRule="auto"/>
        <w:tabs>
          <w:tab w:leader="none" w:pos="1316"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provided in this Section 2.14(b),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46" w:lineRule="exact"/>
        <w:rPr>
          <w:rFonts w:ascii="Times New Roman" w:cs="Times New Roman" w:eastAsia="Times New Roman" w:hAnsi="Times New Roman"/>
          <w:sz w:val="15"/>
          <w:szCs w:val="15"/>
          <w:color w:val="auto"/>
        </w:rPr>
      </w:pPr>
    </w:p>
    <w:p>
      <w:pPr>
        <w:jc w:val="both"/>
        <w:ind w:left="540" w:firstLine="551"/>
        <w:spacing w:after="0" w:line="260" w:lineRule="auto"/>
        <w:tabs>
          <w:tab w:leader="none" w:pos="1360"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issued in exchange for a Global Security or any portion thereof shall be issued in definitive, fully registered form, without interest coupons, shall have an aggregate principal amount equal to that of such Global Security or portion thereof to be so exchanged, shall be registered in such names and be in such authorized denominations as the Depository shall designate and shall bear the applicable legends provided for herein. Any Global Security to be exchanged in whole shall be surrendered by the Depository to the Trustee, as Registrar. With regard to any Global Security to be exchanged in part, either such Global Security shall be so surrendered for exchange or, if the Registrar is acting as custodian for the Depository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Depository or an authorized representative thereof.</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5" w:name="page136"/>
    <w:bookmarkEnd w:id="135"/>
    <w:p>
      <w:pPr>
        <w:ind w:left="540" w:right="20" w:firstLine="551"/>
        <w:spacing w:after="0" w:line="290" w:lineRule="auto"/>
        <w:tabs>
          <w:tab w:leader="none" w:pos="1349"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registered Holder may grant proxies and otherwise authorize any Person, including participants in the Depository and persons that may hold interests through participants in the Depository, to take any action which a Holder is entitled to take under this Indenture or the Securities.</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1" w:lineRule="auto"/>
        <w:tabs>
          <w:tab w:leader="none" w:pos="1325"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the occurrence of any of the events specified in 2.14(b)(i), the Company will promptly make available to the Trustee a reasonable supply of Certificated Securities in definitive, fully registered form, without interest coupons. If (A) an event described in Section 2.14(b)(i)(A) or (B) occurs and definitive Certificated Securities are not issued promptly to all beneficial owners or (B) the Registrar receives from a beneficial owner instructions to obtain definitive Certificated Securities due to an event described in Section 2.14(b)(i)(C) and definitive Certificated Securities are not issued promptly to any such beneficial owner, the Company expressly acknowledges, with respect to the right of any Holder to pursue a remedy pursuant to Section 6.07 hereof, the right of any beneficial owner of Securities to pursue such remedy with respect to the portion of the Global Security that represents such beneficial owner’s Securities as if such definitive certificated Securities had been issued.</w:t>
      </w:r>
    </w:p>
    <w:p>
      <w:pPr>
        <w:spacing w:after="0" w:line="156" w:lineRule="exact"/>
        <w:rPr>
          <w:rFonts w:ascii="Times New Roman" w:cs="Times New Roman" w:eastAsia="Times New Roman" w:hAnsi="Times New Roman"/>
          <w:sz w:val="15"/>
          <w:szCs w:val="15"/>
          <w:color w:val="auto"/>
        </w:rPr>
      </w:pPr>
    </w:p>
    <w:p>
      <w:pPr>
        <w:jc w:val="both"/>
        <w:ind w:left="540" w:firstLine="551"/>
        <w:spacing w:after="0" w:line="272" w:lineRule="auto"/>
        <w:tabs>
          <w:tab w:leader="none" w:pos="1355"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provision to the contrary in this Indenture, so long as a Global Security remains outstanding and is held by or on behalf of the Depository, transfers of a Global Security, in whole or in part, or of any beneficial interest therein, shall only be made in accordance with Section 2.07, this Section 2.14(b) and the rules and procedures of the Depository for such Global Security to the extent applicable to such transaction and as in effect from time to time.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 Any Global Security issued hereunder shall bear a legend in substantially the following form:</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51" w:lineRule="exact"/>
        <w:rPr>
          <w:sz w:val="20"/>
          <w:szCs w:val="20"/>
          <w:color w:val="auto"/>
        </w:rPr>
      </w:pPr>
    </w:p>
    <w:p>
      <w:pPr>
        <w:ind w:right="20" w:firstLine="541"/>
        <w:spacing w:after="0" w:line="290" w:lineRule="auto"/>
        <w:tabs>
          <w:tab w:leader="none" w:pos="769"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61"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other provisions of this Indenture, unless otherwise specified as contemplated by Section 2.02, payment of the principal of and interest, if any, on any Global Security shall be made to the Holder thereof at their registered office.</w:t>
      </w:r>
    </w:p>
    <w:p>
      <w:pPr>
        <w:spacing w:after="0" w:line="132" w:lineRule="exact"/>
        <w:rPr>
          <w:rFonts w:ascii="Times New Roman" w:cs="Times New Roman" w:eastAsia="Times New Roman" w:hAnsi="Times New Roman"/>
          <w:sz w:val="15"/>
          <w:szCs w:val="15"/>
          <w:color w:val="auto"/>
        </w:rPr>
      </w:pPr>
    </w:p>
    <w:p>
      <w:pPr>
        <w:jc w:val="both"/>
        <w:ind w:firstLine="541"/>
        <w:spacing w:after="0" w:line="261" w:lineRule="auto"/>
        <w:tabs>
          <w:tab w:leader="none" w:pos="743"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all times the Securities are held in book-entry form with a Depository, (i) the Trustee may deal with such Depository as the authorized representative of the Holders, (ii) the rights of the Holders shall be exercised only through the Depository and shall be limited to those established by law and agreement between the Holders and the Depository and/or direct participants of the Depository, (iii) the Depository will make book-entry transfers among the direct participants of the Depository and will receive and transmit distributions of principal and interest on the Securities to such direct participants; and (iv) the direct participants of the Depository shall have no rights under this Indenture, or any supplement hereto, under or with respect to any of the Securities held on their behalf by the Depository, and the Depository may be treated by the Trustee and its agents, employees, officers and directors as the absolute owner of the Securities for all purposes whatsoever.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2.15.  </w:t>
      </w:r>
      <w:r>
        <w:rPr>
          <w:rFonts w:ascii="Times New Roman" w:cs="Times New Roman" w:eastAsia="Times New Roman" w:hAnsi="Times New Roman"/>
          <w:sz w:val="15"/>
          <w:szCs w:val="15"/>
          <w:u w:val="single" w:color="auto"/>
          <w:color w:val="auto"/>
        </w:rPr>
        <w:t>CUSIP Numbers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in issuing the Securities may use “CUSIP”, “ISIN” or other identification numbers (if then generally in use), and, if so, the Trustee shall use “CUSIP”, “ISIN” or such other identification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REDEMPTION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u w:val="single" w:color="auto"/>
          <w:color w:val="auto"/>
        </w:rPr>
        <w:t>Notice to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and Registrar in writing of the redemption date and the principal amount of Series of Securities to be redeemed. The Company shall give the notice at least [ ] days before the redemption date (or such shorter notice as may be acceptable to the Trustee and Registrar).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u w:val="single" w:color="auto"/>
          <w:color w:val="auto"/>
        </w:rPr>
        <w:t>Selection of Securities to be Redeemed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Unless otherwise indicated for a particular Series by a Board Resolution, a supplemental indenture or an Officers’ Certificate, if less than all the Securities of a Series are to be redeemed, the Registrar shall select the Securities of the Series to be redeemed in accordance with its customary procedures. The Registrar shall make the selection from Securities of the Series outstanding not previously called for redemption. The Registrar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2.02(g),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3.03.  </w:t>
      </w:r>
      <w:r>
        <w:rPr>
          <w:rFonts w:ascii="Times New Roman" w:cs="Times New Roman" w:eastAsia="Times New Roman" w:hAnsi="Times New Roman"/>
          <w:sz w:val="15"/>
          <w:szCs w:val="15"/>
          <w:u w:val="single" w:color="auto"/>
          <w:color w:val="auto"/>
        </w:rPr>
        <w:t>Notice of Redemption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Unless otherwise indicated for a particular Series by Board Resolution, a supplemental indenture hereto or an Officers’ Certificate, at least [ ] days but not more than [ ] days before a redemption date, the Company shall mail a notice of redemption by first-class mail to each Holder whose Securities are to be redeemed.</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notice shall identify the Securities of the Series to be redeemed and shall state:</w:t>
      </w:r>
    </w:p>
    <w:p>
      <w:pPr>
        <w:spacing w:after="0" w:line="194" w:lineRule="exact"/>
        <w:rPr>
          <w:sz w:val="20"/>
          <w:szCs w:val="20"/>
          <w:color w:val="auto"/>
        </w:rPr>
      </w:pPr>
    </w:p>
    <w:p>
      <w:pPr>
        <w:ind w:left="740" w:hanging="199"/>
        <w:spacing w:after="0"/>
        <w:tabs>
          <w:tab w:leader="none" w:pos="7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date;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price;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and address of the Paying Agent;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Securities of the Series called for redemption must be surrendered to the Paying Agent to collect the redemption price;</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interest on Securities of the Series called for redemption ceases to accrue on and after the redemption date; and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information as may be required by the terms of the particular Series or the Securities of a Series being redeemed.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 the Company’s written request, the Trustee shall distribute the notice of redemption prepared by the Company in the Company’s name and at its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3.04.  </w:t>
      </w:r>
      <w:r>
        <w:rPr>
          <w:rFonts w:ascii="Times New Roman" w:cs="Times New Roman" w:eastAsia="Times New Roman" w:hAnsi="Times New Roman"/>
          <w:sz w:val="15"/>
          <w:szCs w:val="15"/>
          <w:u w:val="single" w:color="auto"/>
          <w:color w:val="auto"/>
        </w:rPr>
        <w:t>Effect of Notice of Redemption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Once notice of redemption is mailed or published as provided in Section 3.03,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color w:val="auto"/>
        </w:rPr>
        <w:t xml:space="preserve">SECTION 3.05.  </w:t>
      </w:r>
      <w:r>
        <w:rPr>
          <w:rFonts w:ascii="Times New Roman" w:cs="Times New Roman" w:eastAsia="Times New Roman" w:hAnsi="Times New Roman"/>
          <w:sz w:val="15"/>
          <w:szCs w:val="15"/>
          <w:u w:val="single" w:color="auto"/>
          <w:color w:val="auto"/>
        </w:rPr>
        <w:t>Deposit of Redemption Price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On or before the redemption date, the Company shall deposit with the Paying Agent money sufficient to pay the redemption price of and accrued interest, if any, on all Securities to be redeemed on that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3.06.  </w:t>
      </w:r>
      <w:r>
        <w:rPr>
          <w:rFonts w:ascii="Times New Roman" w:cs="Times New Roman" w:eastAsia="Times New Roman" w:hAnsi="Times New Roman"/>
          <w:sz w:val="15"/>
          <w:szCs w:val="15"/>
          <w:u w:val="single" w:color="auto"/>
          <w:color w:val="auto"/>
        </w:rPr>
        <w:t>Securities Redeemed in Part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IV</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COVENANTS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4.01.  </w:t>
      </w:r>
      <w:r>
        <w:rPr>
          <w:rFonts w:ascii="Times New Roman" w:cs="Times New Roman" w:eastAsia="Times New Roman" w:hAnsi="Times New Roman"/>
          <w:sz w:val="15"/>
          <w:szCs w:val="15"/>
          <w:u w:val="single" w:color="auto"/>
          <w:color w:val="auto"/>
        </w:rPr>
        <w:t>Payment of Principal and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Unless otherwise provided under the terms of a particular Series of Securities:</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 an installment of principal or interest shall be considered paid on the date it is due if the Paying Agent (other than the Company) holds by [ ] [a].m., New York City time, on that date money, deposited by the Company or an Affiliate thereof, sufficient to pay such installment. The Company shall (in immediately available funds), to the fullest extent permitted by law, pay interest on overdue principal and overdue installments of interest at the rate borne by the Securities per annum; and</w:t>
      </w:r>
    </w:p>
    <w:p>
      <w:pPr>
        <w:spacing w:after="0" w:line="146"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 xml:space="preserve">(b) payment of the principal of and interest on the Securities shall be made at the office or agency of the Company maintained for that purpose in [ ] (which shall initially be [ ], the Paying Agent) in such coin or currency of the United States of America as at the time of payment is legal tender for payment of public and private debts; </w:t>
      </w:r>
      <w:r>
        <w:rPr>
          <w:rFonts w:ascii="Times New Roman" w:cs="Times New Roman" w:eastAsia="Times New Roman" w:hAnsi="Times New Roman"/>
          <w:sz w:val="15"/>
          <w:szCs w:val="15"/>
          <w:i w:val="1"/>
          <w:iCs w:val="1"/>
          <w:color w:val="auto"/>
        </w:rPr>
        <w:t>provided,</w:t>
      </w:r>
    </w:p>
    <w:p>
      <w:pPr>
        <w:jc w:val="both"/>
        <w:spacing w:after="0" w:line="262" w:lineRule="auto"/>
        <w:rPr>
          <w:sz w:val="20"/>
          <w:szCs w:val="20"/>
          <w:color w:val="auto"/>
        </w:rPr>
      </w:pP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at the option of the Company payment of interest may be made by check mailed to the address of the Person entitled thereto as such address appears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register;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a Holder with an aggregate principal amount in excess of $[ ] will be paid by wire transfer in immediately available funds at the election of such Holder if such Holder has provided wire transfer instructions to the Company at least [ ] Business Days prior to the payment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u w:val="single" w:color="auto"/>
          <w:color w:val="auto"/>
        </w:rPr>
        <w:t>SEC Reports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So long as any Securities are outstanding, the Company shall (i) file with the SEC within the time periods prescribed by its rules and regulations and (ii) furnish to the Trustee and the Holders of the Securities within [ ] days after the date on which the Company would be required to file the same with the SEC pursuant to its rules and regulations (giving effect to any grace period provided by Rule 12b-25 under the Exchange Act), all quarterly and annual financial information required to be furnished or filed with the SEC pursuant to Section 13 and Section 15(d) of the Exchange Act and, with respect to the annual consolidated financial statements only, a report thereon by the Company’s independent auditors. The Company also shall comply with the other provisions of TIA Section 314(a).</w:t>
      </w:r>
    </w:p>
    <w:p>
      <w:pPr>
        <w:spacing w:after="0" w:line="15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Company shall not be required to file any report or other information with the SEC if the SEC does not permit such filing, although such reports shall be furnished to the Trustee. Documents filed by the Company with the SEC via the SEC’s EDGAR system (or any successor thereto) will be deemed furnished to the Trustee and the Holders of the Securities as of the time such documents are filed via EDGAR (or such successor).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color w:val="auto"/>
        </w:rPr>
        <w:t xml:space="preserve">SECTION 4.03.  </w:t>
      </w:r>
      <w:r>
        <w:rPr>
          <w:rFonts w:ascii="Times New Roman" w:cs="Times New Roman" w:eastAsia="Times New Roman" w:hAnsi="Times New Roman"/>
          <w:sz w:val="15"/>
          <w:szCs w:val="15"/>
          <w:u w:val="single" w:color="auto"/>
          <w:color w:val="auto"/>
        </w:rPr>
        <w:t>Compliance Certificate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The Company shall deliver to the Trustee, within [ ] days after the end of each fiscal year of the Company, an officers certificate signed by two of the Company’s officers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in reasonable detail and the efforts to remedy the same). For purposes of this Section 4.03, compliance shall be determined without regard to any grace period or requirement of notice provided pursuant to the terms of this Indenture.</w:t>
      </w:r>
    </w:p>
    <w:p>
      <w:pPr>
        <w:spacing w:after="0" w:line="157"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Company shall deliver to the Trustee, within [ ] days after the occurrence thereof, written notice in the form of an Officers’ Certificate of any Event of Default described in Section 6.01(e), (f), (g) or (h) and any event of which it becomes aware that with the giving of notice or the lapse of time would become such an Event of Default, its status and what action the Company is taking or proposes to take with respect thereto. For the avoidance of doubt, a breach of a covenant under an Instrument that is not a payment default and that has not given rise to a right of acceleration under such Instrument shall not trigger the requirement to provide notice under this paragraph.</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u w:val="single" w:color="auto"/>
          <w:color w:val="auto"/>
        </w:rPr>
        <w:t>Stay, Extension and Usury Laws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5" w:lineRule="auto"/>
        <w:rPr>
          <w:sz w:val="20"/>
          <w:szCs w:val="20"/>
          <w:color w:val="auto"/>
        </w:rPr>
      </w:pPr>
      <w:r>
        <w:rPr>
          <w:rFonts w:ascii="Times New Roman" w:cs="Times New Roman" w:eastAsia="Times New Roman" w:hAnsi="Times New Roman"/>
          <w:sz w:val="15"/>
          <w:szCs w:val="15"/>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4.05.  </w:t>
      </w:r>
      <w:r>
        <w:rPr>
          <w:rFonts w:ascii="Times New Roman" w:cs="Times New Roman" w:eastAsia="Times New Roman" w:hAnsi="Times New Roman"/>
          <w:sz w:val="15"/>
          <w:szCs w:val="15"/>
          <w:u w:val="single" w:color="auto"/>
          <w:color w:val="auto"/>
        </w:rPr>
        <w:t>Corporate Existence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Subject to Article V, the Company will do or cause to be done all things necessary to preserve and keep in full force and effect its corporate existence and the corporate, partnership or other existence of each Subsidiary in accordance with the respective organizational documents of each Subsidiary and the rights (charter and statutory), licenses and franchises of the Company and its Subsidiaries; provided, however, that the Company shall not be required to preserve any such right, license or franchise, or the corporate, partnership or other existence of any Subsidiary,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4.06.  </w:t>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Company shall, and shall cause each of its Subsidiaries to, pay prior to delinquency all taxes, assessments and governmental levies, except as contested in good faith and by appropriate proceedings.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color w:val="auto"/>
        </w:rPr>
        <w:t xml:space="preserve">SECTION 4.07.  </w:t>
      </w:r>
      <w:r>
        <w:rPr>
          <w:rFonts w:ascii="Times New Roman" w:cs="Times New Roman" w:eastAsia="Times New Roman" w:hAnsi="Times New Roman"/>
          <w:sz w:val="15"/>
          <w:szCs w:val="15"/>
          <w:u w:val="single" w:color="auto"/>
          <w:color w:val="auto"/>
        </w:rPr>
        <w:t>Additional Interest Notice</w:t>
      </w:r>
      <w:r>
        <w:rPr>
          <w:rFonts w:ascii="Times New Roman" w:cs="Times New Roman" w:eastAsia="Times New Roman" w:hAnsi="Times New Roman"/>
          <w:sz w:val="15"/>
          <w:szCs w:val="15"/>
          <w:i w:val="1"/>
          <w:iCs w:val="1"/>
          <w:color w:val="auto"/>
        </w:rPr>
        <w:t>.</w:t>
      </w:r>
    </w:p>
    <w:p>
      <w:pPr>
        <w:spacing w:after="0" w:line="198"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In the event that the Company is required to pay additional interest to Holders of Securities pursuant to Section 6.02(b) hereof, the Company shall provide a direction or order in the form of a written notice to the Trustee (and if the Trustee is not the Paying Agent, the Paying Agent) of the Company’s obligation to pay such additional interest no later than [ ] Business Days prior to date on which any such additional interest is scheduled to be paid. Such notice shall set forth the amount of additional interest to be paid by the Company on such payment date and direct the Trustee (or, if the Trustee is not the Paying Agent, the Paying Agent) to make payment to the extent it receives funds from the Company to do so. The Trustee shall not at any time be under any duty or responsibility to any Holder to determine whether additional interest is payable, or with respect to the nature, extent, or calculation of the amount of additional interest owed, or with respect to the method employed in such calculation of additional interest.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4.08.  </w:t>
      </w:r>
      <w:r>
        <w:rPr>
          <w:rFonts w:ascii="Times New Roman" w:cs="Times New Roman" w:eastAsia="Times New Roman" w:hAnsi="Times New Roman"/>
          <w:sz w:val="15"/>
          <w:szCs w:val="15"/>
          <w:u w:val="single" w:color="auto"/>
          <w:color w:val="auto"/>
        </w:rPr>
        <w:t>Further Instruments and Acts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Company will execute and deliver such further instruments and do such further acts as may be reasonably necessary or proper to carry out more effectively the purposes of this Indenture.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SUCCESSORS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u w:val="single" w:color="auto"/>
          <w:color w:val="auto"/>
        </w:rPr>
        <w:t>When Company May Merge,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Company shall not consolidate with, enter into a binding share exchange, or merge into any other Person in a transaction in which it is not the surviving entity, or sell, assign, convey, transfer or lease or otherwise dispose of all or substantially all of its properties and assets to any Person (a “successor person”), unless:</w:t>
      </w:r>
    </w:p>
    <w:p>
      <w:pPr>
        <w:spacing w:after="0" w:line="133" w:lineRule="exact"/>
        <w:rPr>
          <w:sz w:val="20"/>
          <w:szCs w:val="20"/>
          <w:color w:val="auto"/>
        </w:rPr>
      </w:pPr>
    </w:p>
    <w:p>
      <w:pPr>
        <w:jc w:val="both"/>
        <w:ind w:firstLine="541"/>
        <w:spacing w:after="0" w:line="272" w:lineRule="auto"/>
        <w:tabs>
          <w:tab w:leader="none" w:pos="76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successor person (if any) is a corporation, partnership, trust or other entity organized and validly existing under the laws of the Nevada and expressly assumes by a supplemental indenture executed and delivered to the Trustee, in form satisfactory to the Trustee, the due and punctual payment of the principal of, and any interest on, all Securities and the performance or observance of every covenant of this Indenture on the part of the Company to be performed or observed;</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the transaction, no Default or Event of Default, shall have occurred and be continuing; and</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62"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prior to the consummation of the proposed transaction, an Officers’ Certificate to the foregoing effect and an Opinion of Counsel stating that the proposed transaction and such supplemental indenture comply with this Indenture.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u w:val="single" w:color="auto"/>
          <w:color w:val="auto"/>
        </w:rPr>
        <w:t>Successor Corporation Substituted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Upon any consolidation or merger, or any sale, lease, conveyance or other disposition of all or substantially all of the assets of the Company in accordance with Section 5.01, the successor person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lease, conveyance or other disposition of all or substantially all of the assets of the Company shall not be released from the obligation to pay the principal of and interest, if any, on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DEFAULTS AND REMEDIES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u w:val="single" w:color="auto"/>
          <w:color w:val="auto"/>
        </w:rPr>
        <w:t>Events of Default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33" w:lineRule="exact"/>
        <w:rPr>
          <w:sz w:val="20"/>
          <w:szCs w:val="20"/>
          <w:color w:val="auto"/>
        </w:rPr>
      </w:pPr>
    </w:p>
    <w:p>
      <w:pPr>
        <w:ind w:firstLine="541"/>
        <w:spacing w:after="0" w:line="290" w:lineRule="auto"/>
        <w:tabs>
          <w:tab w:leader="none" w:pos="762"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40" w:name="page141"/>
    <w:bookmarkEnd w:id="140"/>
    <w:p>
      <w:pPr>
        <w:ind w:left="760" w:hanging="219"/>
        <w:spacing w:after="0"/>
        <w:tabs>
          <w:tab w:leader="none" w:pos="76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any principal of any Security of that Series at its Maturity; or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of any sinking fund payment, when and as due in respect of any Security of that Series; or</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66"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fails to perform or comply with any of its other covenants or agreements contained in the Securities or in this Indenture (other than a covenant or agreement a default in whose performance or whose breach is specifically dealt with in clauses (a), (b) or (c) of this Section 6.01) and the default continues for 60 days after notice is given as specified below;</w:t>
      </w:r>
    </w:p>
    <w:p>
      <w:pPr>
        <w:spacing w:after="0" w:line="146" w:lineRule="exact"/>
        <w:rPr>
          <w:rFonts w:ascii="Times New Roman" w:cs="Times New Roman" w:eastAsia="Times New Roman" w:hAnsi="Times New Roman"/>
          <w:sz w:val="15"/>
          <w:szCs w:val="15"/>
          <w:color w:val="auto"/>
        </w:rPr>
      </w:pPr>
    </w:p>
    <w:p>
      <w:pPr>
        <w:jc w:val="both"/>
        <w:ind w:right="20" w:firstLine="541"/>
        <w:spacing w:after="0" w:line="265" w:lineRule="auto"/>
        <w:tabs>
          <w:tab w:leader="none" w:pos="775"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or any other payment obligation of,</w:t>
      </w:r>
    </w:p>
    <w:p>
      <w:pPr>
        <w:jc w:val="both"/>
        <w:spacing w:after="0" w:line="256" w:lineRule="auto"/>
        <w:rPr>
          <w:sz w:val="20"/>
          <w:szCs w:val="20"/>
          <w:color w:val="auto"/>
        </w:rPr>
      </w:pPr>
      <w:r>
        <w:rPr>
          <w:rFonts w:ascii="Times New Roman" w:cs="Times New Roman" w:eastAsia="Times New Roman" w:hAnsi="Times New Roman"/>
          <w:sz w:val="15"/>
          <w:szCs w:val="15"/>
          <w:color w:val="auto"/>
        </w:rPr>
        <w:t>the Company or any Subsidiary (an “Instrument”) with a principal amount then, individually or in the aggregate, outstanding in excess of $[ ], whether such indebtedness now exists or shall hereafter be created, is not paid at Maturity or when otherwise due or is accelerated, and such indebtedness is not discharged, or such default in payment or acceleration is not cured or rescinded, within a period of 30 days after there shall have been given, by registered or certified mail, to the Company by the Trustee or to the Company and the Trustee by the Holders of at least [ ]% in aggregate principal amount of the outstanding Securities of that Series a written notice specifying such default and requiring the Company to cause such indebtedness to be discharged or cause such default to be cured or waived or such acceleration to be rescinded or annulled and stating that such notice is a “Notice of Default” hereunder. A payment obligation (other than indebtedness under any bond, debenture, note or other evidence of indebtedness for money borrowed by the Company or any Subsidiary or under any mortgage, indenture or instrument under which there may be issued or by which there may be secured or evidenced any indebtedness for money borrowed by the Company or any Subsidiary) shall not be deemed to have matured, come due, or been accelerated to the extent that it is being disputed by the relevant obligor or obligors in good faith. For the avoidance of doubt, the Maturity of an Instrument is the Maturity as set forth in that Instrument, as it may be amended from time to time in accordance with the terms of that Instrument;</w:t>
      </w:r>
    </w:p>
    <w:p>
      <w:pPr>
        <w:spacing w:after="0" w:line="344" w:lineRule="exact"/>
        <w:rPr>
          <w:sz w:val="20"/>
          <w:szCs w:val="20"/>
          <w:color w:val="auto"/>
        </w:rPr>
      </w:pPr>
    </w:p>
    <w:p>
      <w:pPr>
        <w:ind w:left="740" w:hanging="199"/>
        <w:spacing w:after="0"/>
        <w:tabs>
          <w:tab w:leader="none" w:pos="7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or any Subsidiary fails to pay one or more final and non-appealable judgments entered by a court or courts of competent jurisdiction, the aggregate uninsured</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unbonded portion of which is in excess of $[], if the judgments are not paid, discharged, waived or stayed within [ ] days;</w:t>
      </w:r>
    </w:p>
    <w:p>
      <w:pPr>
        <w:spacing w:after="0" w:line="179"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or any Subsidiary of the Company, pursuant to or within the meaning of any Bankruptcy Law:</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commences a voluntary case or proceeding;</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entry of an order for relief against it in an involuntary case or proceeding;</w:t>
      </w:r>
    </w:p>
    <w:p>
      <w:pPr>
        <w:spacing w:after="0" w:line="193" w:lineRule="exact"/>
        <w:rPr>
          <w:rFonts w:ascii="Times New Roman" w:cs="Times New Roman" w:eastAsia="Times New Roman" w:hAnsi="Times New Roman"/>
          <w:sz w:val="15"/>
          <w:szCs w:val="15"/>
          <w:color w:val="auto"/>
        </w:rPr>
      </w:pPr>
    </w:p>
    <w:p>
      <w:pPr>
        <w:ind w:left="1360" w:hanging="269"/>
        <w:spacing w:after="0"/>
        <w:tabs>
          <w:tab w:leader="none" w:pos="136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consents to the appointment of a Custodian of it or for all or substantially all of its property; or</w:t>
      </w:r>
    </w:p>
    <w:p>
      <w:pPr>
        <w:spacing w:after="0" w:line="193" w:lineRule="exact"/>
        <w:rPr>
          <w:rFonts w:ascii="Times New Roman" w:cs="Times New Roman" w:eastAsia="Times New Roman" w:hAnsi="Times New Roman"/>
          <w:sz w:val="15"/>
          <w:szCs w:val="15"/>
          <w:color w:val="auto"/>
        </w:rPr>
      </w:pPr>
    </w:p>
    <w:p>
      <w:pPr>
        <w:ind w:left="1340" w:hanging="249"/>
        <w:spacing w:after="0"/>
        <w:tabs>
          <w:tab w:leader="none" w:pos="134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makes a general assignment for the benefit of its creditors; or</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generally is unable to pay its debts as the same become due; or</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of competent jurisdiction enters an order or decree under any Bankruptcy Law that:</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for relief against the Company or any of its Subsidiaries in an involuntary case or proceeding;</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appoints a Custodian of the Company or any of its Subsidiaries for all or substantially all of the property of the Company or any such Subsidiary; or</w:t>
      </w:r>
    </w:p>
    <w:p>
      <w:pPr>
        <w:spacing w:after="0" w:line="193" w:lineRule="exact"/>
        <w:rPr>
          <w:rFonts w:ascii="Times New Roman" w:cs="Times New Roman" w:eastAsia="Times New Roman" w:hAnsi="Times New Roman"/>
          <w:sz w:val="15"/>
          <w:szCs w:val="15"/>
          <w:color w:val="auto"/>
        </w:rPr>
      </w:pPr>
    </w:p>
    <w:p>
      <w:pPr>
        <w:ind w:left="1360" w:hanging="269"/>
        <w:spacing w:after="0"/>
        <w:tabs>
          <w:tab w:leader="none" w:pos="136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orders the liquidation of the Company or any of its Subsidiaries;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and the case of each of clause (i), (ii) and (iii), the order or decree remains unstayed and in effect for [ ] consecutive days; 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1" w:name="page142"/>
    <w:bookmarkEnd w:id="141"/>
    <w:p>
      <w:pPr>
        <w:ind w:firstLine="541"/>
        <w:spacing w:after="0" w:line="290" w:lineRule="auto"/>
        <w:tabs>
          <w:tab w:leader="none" w:pos="746"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with respect to Securities of that Series, which is specified in a Board Resolution, a supplemental indenture hereto or an Officers’ Certificate, in accordance with Section 2.02(i).</w:t>
      </w:r>
    </w:p>
    <w:p>
      <w:pPr>
        <w:spacing w:after="0" w:line="13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A default under clause (d) above is not an Event of Default until the Trustee notifies the Company, or the Holders of at least [ ]% in aggregate principal amount of the Securities then outstanding notify the Company and the Trustee, in writing of the default, and the Company does not cure the default within 60 days after receipt of such notice. The notice given pursuant to this Section 6.01 must specify the default, demand that it be remedied and state that the notice is a “Notice of Default.” When any default under this Section 6.01 is cured, it ceases.</w:t>
      </w:r>
    </w:p>
    <w:p>
      <w:pPr>
        <w:spacing w:after="0" w:line="151"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Trustee shall not be charged with knowledge of any Event of Default unless written notice thereof shall have been given to a Trust Officer at the Corporate Trust Office of the Trustee by the Company, a Paying Agent, any Holder or any agent of any Holder.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u w:val="single" w:color="auto"/>
          <w:color w:val="auto"/>
        </w:rPr>
        <w:t>Acceleration of Maturity; Rescission and Annulment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58" w:lineRule="auto"/>
        <w:tabs>
          <w:tab w:leader="none" w:pos="763"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(other than an Event of Default specified in clause (g) or (h) of Section 6.01) occurs and is continuing with respect to any Securities of any Series, then in every such case, the Trustee may, by notice to the Company, or the Holders of at least 25% in aggregate principal amount of the Securities of that Series (or, if any Securities of that Series are Discount Securities, such portion of the principal amount as may be specified in the terms of such Securities) then outstanding may, by notice to the Company and the Trustee, declare all unpaid principal of, and accrued and unpaid interest on to the date of acceleration, the Securities of that Series then outstanding (if not then due and payable) to be due and payable upon any such declaration, and the same shall become and be immediately due and payable. If an Event of Default specified in clause (g) or (h) of Section 6.01 occurs, all unpaid principal of the Securities then outstanding, and all accrued and unpaid interest thereon to the date of acceleration, shall ipso facto become and be immediately due and payable without any declaration or other act on the part of the Trustee or any Holder. The Holders of a majority in aggregate principal amount of the Securities of that Series then outstanding by notice to the Trustee may rescind an acceleration of such Securities of that Series and its consequences if (a) all existing Events of Default, other than the nonpayment of the principal of the Securities which has become due solely by such declaration of acceleration, have been cured or waived; (b) to the extent the payment of such interest is lawful, interest (calculated at the Default Rate) on overdue installments of interest and overdue principal, which has become due otherwise than by such declaration of acceleration, has been paid; (c) the rescission would not conflict with any judgment or decree of a court of competent jurisdiction; and (d) all payments due to the Trustee and any predecessor Trustee under Section 7.07 have been made. No such rescission shall affect any subsequent default or impair any right consequent thereto.</w:t>
      </w:r>
    </w:p>
    <w:p>
      <w:pPr>
        <w:spacing w:after="0" w:line="156" w:lineRule="exact"/>
        <w:rPr>
          <w:rFonts w:ascii="Times New Roman" w:cs="Times New Roman" w:eastAsia="Times New Roman" w:hAnsi="Times New Roman"/>
          <w:sz w:val="15"/>
          <w:szCs w:val="15"/>
          <w:color w:val="auto"/>
        </w:rPr>
      </w:pPr>
    </w:p>
    <w:p>
      <w:pPr>
        <w:jc w:val="both"/>
        <w:ind w:firstLine="541"/>
        <w:spacing w:after="0" w:line="259" w:lineRule="auto"/>
        <w:tabs>
          <w:tab w:leader="none" w:pos="781"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of provision of this Article 6, at the election of the Company in its sole discretion, the sole remedy under this Indenture for an Event of Default relating to the failure to comply with Section 4.02, and for any failure to comply with the requirements of Section 314(a)(1) of the TIA, will consist, for the 180 days after the occurrence of such an Event of Default, exclusively of the right to receive additional interest on the Securities at a rate equal to 0.50% per annum of the aggregate principal amount of the Securities then outstanding up to, but not including, the 181st day thereafter (or, if applicable, the earlier date on which the Event of Default relating to Section 4.02 is cured or waived). Any such additional interest will be payable in the same manner and on the same dates as the stated interest payable on the Securities. In no event shall additional interest accrue under the terms of this Indenture at a rate in excess of 0.50% per annum, in the aggregate, for any violation or default caused by the failure of the Company to be current in respect of its Exchange Act reporting obligations. If the Event of Default is continuing on the 181st day after an Event of Default relating to a failure to comply with Section 4.02, the Securities will be subject to acceleration as provided in this Section 6.02. The provisions of this Section 6.02(b) will not affect the rights of Holders in the event of the occurrence of any other Events of Default.</w:t>
      </w:r>
    </w:p>
    <w:p>
      <w:pPr>
        <w:spacing w:after="0" w:line="34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order to elect to pay additional interest as the sole remedy during the first 180 days after the occurrence of an Event of Default relating to the failure to comply with Section 4.02 in accordance with the immediately preceding paragraph, the Company shall notify all Holders and the Trustee and Paying Agent of such election on or before the close of business on the fifth Business Day after the date on which such Event of Default otherwise would occur. Upon a failure by the Company to timely give such notice or pay additional interest, the Securities will be immediately subject to acceleration as otherwise provided in this Section 6.02.</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u w:val="single" w:color="auto"/>
          <w:color w:val="auto"/>
        </w:rPr>
        <w:t>Collection of Indebtedness and Suits for Enforcement by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6"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If an Event of Default in the payment of principal, interest, if any, specified in clause (a) or (b) of Section 6.01 occurs and is continuing, the Trustee may recover judgment in its own name and as trustee of an express trust against the Company or another obligor on the Securities for the whole amount of principal, and accrued interest remaining unpaid, if any, together with, to the extent that payment of such interest is lawful, interest on overdue principal, on overdue installments of interest, if any, in each case at the Default Rate, and such further amount as shall be sufficient to cover the costs and expenses of collection, including the reasonable compensation, expenses, disbursements and advances of the Trustee, its agents and counsel.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6.04.  </w:t>
      </w:r>
      <w:r>
        <w:rPr>
          <w:rFonts w:ascii="Times New Roman" w:cs="Times New Roman" w:eastAsia="Times New Roman" w:hAnsi="Times New Roman"/>
          <w:sz w:val="15"/>
          <w:szCs w:val="15"/>
          <w:u w:val="single" w:color="auto"/>
          <w:color w:val="auto"/>
        </w:rPr>
        <w:t>Trustee May File Proofs of Claim</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51" w:lineRule="exact"/>
        <w:rPr>
          <w:sz w:val="20"/>
          <w:szCs w:val="20"/>
          <w:color w:val="auto"/>
        </w:rPr>
      </w:pPr>
    </w:p>
    <w:p>
      <w:pPr>
        <w:jc w:val="both"/>
        <w:ind w:firstLine="541"/>
        <w:spacing w:after="0" w:line="272" w:lineRule="auto"/>
        <w:tabs>
          <w:tab w:leader="none" w:pos="76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6" w:lineRule="exact"/>
        <w:rPr>
          <w:rFonts w:ascii="Times New Roman" w:cs="Times New Roman" w:eastAsia="Times New Roman" w:hAnsi="Times New Roman"/>
          <w:sz w:val="15"/>
          <w:szCs w:val="15"/>
          <w:color w:val="auto"/>
        </w:rPr>
      </w:pPr>
    </w:p>
    <w:p>
      <w:pPr>
        <w:jc w:val="both"/>
        <w:ind w:firstLine="541"/>
        <w:spacing w:after="0" w:line="266" w:lineRule="auto"/>
        <w:tabs>
          <w:tab w:leader="none" w:pos="777"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w:t>
      </w:r>
    </w:p>
    <w:p>
      <w:pPr>
        <w:spacing w:after="0" w:line="151"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6.05.  </w:t>
      </w:r>
      <w:r>
        <w:rPr>
          <w:rFonts w:ascii="Times New Roman" w:cs="Times New Roman" w:eastAsia="Times New Roman" w:hAnsi="Times New Roman"/>
          <w:sz w:val="15"/>
          <w:szCs w:val="15"/>
          <w:u w:val="single" w:color="auto"/>
          <w:color w:val="auto"/>
        </w:rPr>
        <w:t>Trustee May Enforce Claims Without Possession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color w:val="auto"/>
        </w:rPr>
        <w:t xml:space="preserve">SECTION 6.06.  </w:t>
      </w:r>
      <w:r>
        <w:rPr>
          <w:rFonts w:ascii="Times New Roman" w:cs="Times New Roman" w:eastAsia="Times New Roman" w:hAnsi="Times New Roman"/>
          <w:sz w:val="15"/>
          <w:szCs w:val="15"/>
          <w:u w:val="single" w:color="auto"/>
          <w:color w:val="auto"/>
        </w:rPr>
        <w:t>Application of Money Collected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83" w:lineRule="auto"/>
        <w:rPr>
          <w:sz w:val="20"/>
          <w:szCs w:val="20"/>
          <w:color w:val="auto"/>
        </w:rPr>
      </w:pPr>
      <w:r>
        <w:rPr>
          <w:rFonts w:ascii="Times New Roman" w:cs="Times New Roman" w:eastAsia="Times New Roman" w:hAnsi="Times New Roman"/>
          <w:sz w:val="15"/>
          <w:szCs w:val="15"/>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 and</w:t>
      </w:r>
    </w:p>
    <w:p>
      <w:pPr>
        <w:spacing w:after="0" w:line="3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First</w:t>
      </w:r>
      <w:r>
        <w:rPr>
          <w:rFonts w:ascii="Times New Roman" w:cs="Times New Roman" w:eastAsia="Times New Roman" w:hAnsi="Times New Roman"/>
          <w:sz w:val="15"/>
          <w:szCs w:val="15"/>
          <w:color w:val="auto"/>
        </w:rPr>
        <w:t>: To the payment of all amounts due the Trustee under Section 7.07;</w:t>
      </w:r>
    </w:p>
    <w:p>
      <w:pPr>
        <w:spacing w:after="0" w:line="194" w:lineRule="exact"/>
        <w:rPr>
          <w:sz w:val="20"/>
          <w:szCs w:val="20"/>
          <w:color w:val="auto"/>
        </w:rPr>
      </w:pPr>
    </w:p>
    <w:p>
      <w:pPr>
        <w:jc w:val="both"/>
        <w:ind w:firstLine="549"/>
        <w:spacing w:after="0" w:line="295" w:lineRule="auto"/>
        <w:rPr>
          <w:sz w:val="20"/>
          <w:szCs w:val="20"/>
          <w:color w:val="auto"/>
        </w:rPr>
      </w:pPr>
      <w:r>
        <w:rPr>
          <w:rFonts w:ascii="Times New Roman" w:cs="Times New Roman" w:eastAsia="Times New Roman" w:hAnsi="Times New Roman"/>
          <w:sz w:val="15"/>
          <w:szCs w:val="15"/>
          <w:i w:val="1"/>
          <w:iCs w:val="1"/>
          <w:color w:val="auto"/>
        </w:rPr>
        <w:t>Second</w:t>
      </w:r>
      <w:r>
        <w:rPr>
          <w:rFonts w:ascii="Times New Roman" w:cs="Times New Roman" w:eastAsia="Times New Roman" w:hAnsi="Times New Roman"/>
          <w:sz w:val="15"/>
          <w:szCs w:val="15"/>
          <w:color w:val="auto"/>
        </w:rPr>
        <w:t>: To the payment of the amounts then due and unpaid for principal of and interest on the Securities in respect of which or for the benefit of which such money has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collected, ratably, without preference or priority of any kind, according to the amounts due and payable on such Securities for principal and interest, respectively; and</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Third</w:t>
      </w:r>
      <w:r>
        <w:rPr>
          <w:rFonts w:ascii="Times New Roman" w:cs="Times New Roman" w:eastAsia="Times New Roman" w:hAnsi="Times New Roman"/>
          <w:sz w:val="15"/>
          <w:szCs w:val="15"/>
          <w:color w:val="auto"/>
        </w:rPr>
        <w:t>: To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6.07.  </w:t>
      </w:r>
      <w:r>
        <w:rPr>
          <w:rFonts w:ascii="Times New Roman" w:cs="Times New Roman" w:eastAsia="Times New Roman" w:hAnsi="Times New Roman"/>
          <w:sz w:val="15"/>
          <w:szCs w:val="15"/>
          <w:u w:val="single" w:color="auto"/>
          <w:color w:val="auto"/>
        </w:rPr>
        <w:t>Limitation on Suits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to institute any proceeding, judicial or otherwise, with respect to this Indenture, or for the appointment of a receiver or trustee, or for any other remedy hereunder (except actions for payment of overdue principal and interest), unless:</w:t>
      </w:r>
    </w:p>
    <w:p>
      <w:pPr>
        <w:spacing w:after="0" w:line="133" w:lineRule="exact"/>
        <w:rPr>
          <w:sz w:val="20"/>
          <w:szCs w:val="20"/>
          <w:color w:val="auto"/>
        </w:rPr>
      </w:pPr>
    </w:p>
    <w:p>
      <w:pPr>
        <w:ind w:left="740" w:hanging="199"/>
        <w:spacing w:after="0"/>
        <w:tabs>
          <w:tab w:leader="none" w:pos="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written notice to the Trustee of a continuing Event of Default with respect to the Securities of that Series;</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71"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not less than [ ]% in principal amount of the outstanding Securities of that Series shall have made written request to the Trustee to institute proceedings in respect of such Event of Default in its own name as Trustee hereunder;</w:t>
      </w:r>
    </w:p>
    <w:p>
      <w:pPr>
        <w:spacing w:after="0" w:line="132"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indemnity satisfactory to it against the costs, expenses and liabilities to be incurred in compliance with such request;</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for [ ] days after its receipt of such notice, request and offer of indemnity has failed to institute any such proceeding; and</w:t>
      </w:r>
    </w:p>
    <w:p>
      <w:pPr>
        <w:spacing w:after="0" w:line="193" w:lineRule="exact"/>
        <w:rPr>
          <w:rFonts w:ascii="Times New Roman" w:cs="Times New Roman" w:eastAsia="Times New Roman" w:hAnsi="Times New Roman"/>
          <w:sz w:val="15"/>
          <w:szCs w:val="15"/>
          <w:color w:val="auto"/>
        </w:rPr>
      </w:pPr>
    </w:p>
    <w:p>
      <w:pPr>
        <w:jc w:val="both"/>
        <w:ind w:firstLine="541"/>
        <w:spacing w:after="0" w:line="266" w:lineRule="auto"/>
        <w:tabs>
          <w:tab w:leader="none" w:pos="775"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direction inconsistent with such written request has been given to the Trustee during such [ ]-day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6.08.  </w:t>
      </w:r>
      <w:r>
        <w:rPr>
          <w:rFonts w:ascii="Times New Roman" w:cs="Times New Roman" w:eastAsia="Times New Roman" w:hAnsi="Times New Roman"/>
          <w:sz w:val="15"/>
          <w:szCs w:val="15"/>
          <w:u w:val="single" w:color="auto"/>
          <w:color w:val="auto"/>
        </w:rPr>
        <w:t>Unconditional Right of Holders to Receive Principal and Interest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6.09.  </w:t>
      </w:r>
      <w:r>
        <w:rPr>
          <w:rFonts w:ascii="Times New Roman" w:cs="Times New Roman" w:eastAsia="Times New Roman" w:hAnsi="Times New Roman"/>
          <w:sz w:val="15"/>
          <w:szCs w:val="15"/>
          <w:u w:val="single" w:color="auto"/>
          <w:color w:val="auto"/>
        </w:rPr>
        <w:t>Restoration of Rights and Remedies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6.10.  </w:t>
      </w:r>
      <w:r>
        <w:rPr>
          <w:rFonts w:ascii="Times New Roman" w:cs="Times New Roman" w:eastAsia="Times New Roman" w:hAnsi="Times New Roman"/>
          <w:sz w:val="15"/>
          <w:szCs w:val="15"/>
          <w:u w:val="single" w:color="auto"/>
          <w:color w:val="auto"/>
        </w:rPr>
        <w:t>Rights and Remedies Cumulative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Except as otherwise provided with respect to the replacement or payment of mutilated, destroyed, lost or 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Delay or Omission Not Waiver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Control by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3" w:lineRule="exact"/>
        <w:rPr>
          <w:sz w:val="20"/>
          <w:szCs w:val="20"/>
          <w:color w:val="auto"/>
        </w:rPr>
      </w:pPr>
    </w:p>
    <w:p>
      <w:pPr>
        <w:ind w:left="740" w:hanging="199"/>
        <w:spacing w:after="0"/>
        <w:tabs>
          <w:tab w:leader="none" w:pos="7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shall not be in conflict with any rule of law or with this Indenture,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take any other action deemed proper by the Trustee which is not inconsistent with such direction; and</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61"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6.01, the Trustee shall have the right to decline to follow any such direction if the Trustee in good faith shall, by a Responsible Officer of the Trustee, determine that the proceeding so directed would involve the Trustee in personal liability or would be unduly prejudicial to the rights of another Holder or the Trustee.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6.13.  </w:t>
      </w:r>
      <w:r>
        <w:rPr>
          <w:rFonts w:ascii="Times New Roman" w:cs="Times New Roman" w:eastAsia="Times New Roman" w:hAnsi="Times New Roman"/>
          <w:sz w:val="15"/>
          <w:szCs w:val="15"/>
          <w:u w:val="single" w:color="auto"/>
          <w:color w:val="auto"/>
        </w:rPr>
        <w:t>Waiver of Past Defaults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Subject to Section 9.02,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6.14.  </w:t>
      </w:r>
      <w:r>
        <w:rPr>
          <w:rFonts w:ascii="Times New Roman" w:cs="Times New Roman" w:eastAsia="Times New Roman" w:hAnsi="Times New Roman"/>
          <w:sz w:val="15"/>
          <w:szCs w:val="15"/>
          <w:u w:val="single" w:color="auto"/>
          <w:color w:val="auto"/>
        </w:rPr>
        <w:t>Undertaking for Costs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 ]%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5"/>
          <w:szCs w:val="15"/>
          <w:color w:val="auto"/>
        </w:rPr>
        <w:t>ARTICLE VII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TRUSTEE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u w:val="single" w:color="auto"/>
          <w:color w:val="auto"/>
        </w:rPr>
        <w:t>Duties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right="20" w:firstLine="541"/>
        <w:spacing w:after="0" w:line="290" w:lineRule="auto"/>
        <w:tabs>
          <w:tab w:leader="none" w:pos="766"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his own affairs.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during the continuance of an Event of Default:</w:t>
      </w:r>
    </w:p>
    <w:p>
      <w:pPr>
        <w:spacing w:after="0" w:line="193" w:lineRule="exact"/>
        <w:rPr>
          <w:rFonts w:ascii="Times New Roman" w:cs="Times New Roman" w:eastAsia="Times New Roman" w:hAnsi="Times New Roman"/>
          <w:sz w:val="15"/>
          <w:szCs w:val="15"/>
          <w:color w:val="auto"/>
        </w:rPr>
      </w:pPr>
    </w:p>
    <w:p>
      <w:pPr>
        <w:ind w:left="540" w:firstLine="551"/>
        <w:spacing w:after="0" w:line="290" w:lineRule="auto"/>
        <w:tabs>
          <w:tab w:leader="none" w:pos="128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need perform only those duties that are specifically set forth in this Indenture and no implied duties, covenants or obligations shall be deemed to be imposed upon the Trustee.</w:t>
      </w:r>
    </w:p>
    <w:p>
      <w:pPr>
        <w:spacing w:after="0" w:line="132" w:lineRule="exact"/>
        <w:rPr>
          <w:rFonts w:ascii="Times New Roman" w:cs="Times New Roman" w:eastAsia="Times New Roman" w:hAnsi="Times New Roman"/>
          <w:sz w:val="15"/>
          <w:szCs w:val="15"/>
          <w:color w:val="auto"/>
        </w:rPr>
      </w:pPr>
    </w:p>
    <w:p>
      <w:pPr>
        <w:jc w:val="both"/>
        <w:ind w:left="540" w:firstLine="551"/>
        <w:spacing w:after="0" w:line="266" w:lineRule="auto"/>
        <w:tabs>
          <w:tab w:leader="none" w:pos="1324"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on their face to the requirements of this Indenture.</w:t>
      </w:r>
    </w:p>
    <w:p>
      <w:pPr>
        <w:spacing w:after="0" w:line="151"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not be relieved from liability for its own its own negligent action, its own negligent failure to act or willful misconduct, except that:</w:t>
      </w:r>
    </w:p>
    <w:p>
      <w:pPr>
        <w:spacing w:after="0" w:line="193"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paragraph does not limit the effect of paragraph (b) of Section 7.01 herein.</w:t>
      </w:r>
    </w:p>
    <w:p>
      <w:pPr>
        <w:spacing w:after="0" w:line="193" w:lineRule="exact"/>
        <w:rPr>
          <w:rFonts w:ascii="Times New Roman" w:cs="Times New Roman" w:eastAsia="Times New Roman" w:hAnsi="Times New Roman"/>
          <w:sz w:val="15"/>
          <w:szCs w:val="15"/>
          <w:color w:val="auto"/>
        </w:rPr>
      </w:pPr>
    </w:p>
    <w:p>
      <w:pPr>
        <w:ind w:left="1320" w:hanging="229"/>
        <w:spacing w:after="0"/>
        <w:tabs>
          <w:tab w:leader="none" w:pos="132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error of judgment made in good faith by a Responsible Officer.</w:t>
      </w:r>
    </w:p>
    <w:p>
      <w:pPr>
        <w:spacing w:after="0" w:line="193" w:lineRule="exact"/>
        <w:rPr>
          <w:rFonts w:ascii="Times New Roman" w:cs="Times New Roman" w:eastAsia="Times New Roman" w:hAnsi="Times New Roman"/>
          <w:sz w:val="15"/>
          <w:szCs w:val="15"/>
          <w:color w:val="auto"/>
        </w:rPr>
      </w:pPr>
    </w:p>
    <w:p>
      <w:pPr>
        <w:jc w:val="both"/>
        <w:ind w:left="540" w:firstLine="551"/>
        <w:spacing w:after="0" w:line="266" w:lineRule="auto"/>
        <w:tabs>
          <w:tab w:leader="none" w:pos="1370"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Every provision of this Indenture that in any way relates to the Trustee is subject to paragraph (a), (b) and (c) of this Section.</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refuse to perform any duty or exercise any right or power unless it receives an indemnity satisfactory to it against any loss, liability or expense.</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6"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71"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require the Trustee to risk or expend its own funds or otherwise incur liability, financial or otherwise, in the performance of any of its duties, or in the exercise of any of its rights or powers, if it shall have reasonable grounds for believing that repayment of such funds or indemnity satisfactory to it against such risk is not reasonably assured to it.</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Paying Agent, the Registrar and any authenticating agent shall be entitled to the same rights, indemnities, protections and immunities afforded to the Trustee.</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36"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have no duty to monitor the performance or compliance of the Company with its obligations hereunder or any under supplement hereto, nor shall it have any liability in connection with the malfeasance or nonfeasance by the Company. The Trustee shall have no liability in connection with compliance by the Company with statutory or regulatory requirements related to this Indenture, any supplement or any Securities issued pursuant hereto or thereto.</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color w:val="auto"/>
        </w:rPr>
        <w:t xml:space="preserve">SECTION 7.02.  </w:t>
      </w:r>
      <w:r>
        <w:rPr>
          <w:rFonts w:ascii="Times New Roman" w:cs="Times New Roman" w:eastAsia="Times New Roman" w:hAnsi="Times New Roman"/>
          <w:sz w:val="15"/>
          <w:szCs w:val="15"/>
          <w:u w:val="single" w:color="auto"/>
          <w:color w:val="auto"/>
        </w:rPr>
        <w:t>Rights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66" w:lineRule="auto"/>
        <w:tabs>
          <w:tab w:leader="none" w:pos="77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conclusively rely on and shall be fully protected in acting or refraining from acting as a result of its reasonable belief that any resolution, certificate, statement, instrument, opinion, report, notice, request, consent, order, direction, approval or other paper or document was genuine and had been signed or presented by the proper person. The Trustee need not investigate any fact or matter stated in the document, but the Trustee, in its discretion, may make such further inquiry or investigation into such facts or matters as it sees fit.</w:t>
      </w:r>
    </w:p>
    <w:p>
      <w:pPr>
        <w:spacing w:after="0" w:line="151" w:lineRule="exact"/>
        <w:rPr>
          <w:rFonts w:ascii="Times New Roman" w:cs="Times New Roman" w:eastAsia="Times New Roman" w:hAnsi="Times New Roman"/>
          <w:sz w:val="15"/>
          <w:szCs w:val="15"/>
          <w:color w:val="auto"/>
        </w:rPr>
      </w:pPr>
    </w:p>
    <w:p>
      <w:pPr>
        <w:ind w:firstLine="541"/>
        <w:spacing w:after="0" w:line="290" w:lineRule="auto"/>
        <w:tabs>
          <w:tab w:leader="none" w:pos="77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69"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act through agents and shall not be responsible for the misconduct or negligence of, or for the supervision of, any agent appointed with due care. No Depository shall be deemed an agent of the Trustee and the Trustee shall not be responsible for any act or omission by any Depository.</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for any action it takes or omits to take in good faith which it believes to be authorized or within its rights or powers.</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62"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32" w:lineRule="exact"/>
        <w:rPr>
          <w:rFonts w:ascii="Times New Roman" w:cs="Times New Roman" w:eastAsia="Times New Roman" w:hAnsi="Times New Roman"/>
          <w:sz w:val="15"/>
          <w:szCs w:val="15"/>
          <w:color w:val="auto"/>
        </w:rPr>
      </w:pPr>
    </w:p>
    <w:p>
      <w:pPr>
        <w:jc w:val="both"/>
        <w:ind w:firstLine="541"/>
        <w:spacing w:after="0" w:line="272" w:lineRule="auto"/>
        <w:tabs>
          <w:tab w:leader="none" w:pos="74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or pursuant to this Indenture at the request, order or direction of any of the Holders of Securities, unless such Holders shall have offered to the Trustee reasonable security or indemnity satisfactory to it against the costs, expenses and liabilities which might be incurred by it in compliance with such request or direction.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7.03.  </w:t>
      </w:r>
      <w:r>
        <w:rPr>
          <w:rFonts w:ascii="Times New Roman" w:cs="Times New Roman" w:eastAsia="Times New Roman" w:hAnsi="Times New Roman"/>
          <w:sz w:val="15"/>
          <w:szCs w:val="15"/>
          <w:u w:val="single" w:color="auto"/>
          <w:color w:val="auto"/>
        </w:rPr>
        <w:t>Individual Rights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Trustee, in its individual or any other capacity, may become the owner or pledgee of Securities and may otherwise deal with the Company or an Affiliate with the same rights it would have if it were not Trustee. Any Agent may do the same with like rights. The Trustee is also subject to Sections 7.10 and 7.11.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7.04.  </w:t>
      </w:r>
      <w:r>
        <w:rPr>
          <w:rFonts w:ascii="Times New Roman" w:cs="Times New Roman" w:eastAsia="Times New Roman" w:hAnsi="Times New Roman"/>
          <w:sz w:val="15"/>
          <w:szCs w:val="15"/>
          <w:u w:val="single" w:color="auto"/>
          <w:color w:val="auto"/>
        </w:rPr>
        <w:t>Trustee’s Disclaimer</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Trustee makes no representation as to the validity or adequacy of this Indenture or the Securities and the recitals contained herein and in the Securities shall be taken as statements of the Company and not of the Trustee, and the Trustee has no responsibility for such recitals. The Trustee shall not be accountable for the Company’s use or application of the proceeds from the Securities or for monies paid over to the Company pursuant to this Indenture, and it shall not be responsible for any statement in the Securities other than its authentication.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7.05.  </w:t>
      </w:r>
      <w:r>
        <w:rPr>
          <w:rFonts w:ascii="Times New Roman" w:cs="Times New Roman" w:eastAsia="Times New Roman" w:hAnsi="Times New Roman"/>
          <w:sz w:val="15"/>
          <w:szCs w:val="15"/>
          <w:u w:val="single" w:color="auto"/>
          <w:color w:val="auto"/>
        </w:rPr>
        <w:t>Notice of Defaults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If a Default or Event of Default occurs and is continuing with respect to the Securities of any Series and if a Responsible Officer of the Trustee has knowledge or receives written notice of such event, the Trustee shall mail to each Securityholder of the Securities of that Series, notice of a Default or Event of Default within [ ] days after it occurs or, if later, after a Responsible Officer of the Trustee has actual knowledge of such Default or Event of Default. Except in the case of a Default or Event of Default in payment of principal of or interest on any Security of any Series, including any additional interest that may become payable pursuant to Section 6.02(b), the Trustee may withhold the notice so long as the Trustee in good faith determines that withholding the notice is in the interests of Securityholders of that Series.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7.06.  </w:t>
      </w:r>
      <w:r>
        <w:rPr>
          <w:rFonts w:ascii="Times New Roman" w:cs="Times New Roman" w:eastAsia="Times New Roman" w:hAnsi="Times New Roman"/>
          <w:sz w:val="15"/>
          <w:szCs w:val="15"/>
          <w:u w:val="single" w:color="auto"/>
          <w:color w:val="auto"/>
        </w:rPr>
        <w:t>Reports by Trustee to Holders</w:t>
      </w:r>
      <w:r>
        <w:rPr>
          <w:rFonts w:ascii="Times New Roman" w:cs="Times New Roman" w:eastAsia="Times New Roman" w:hAnsi="Times New Roman"/>
          <w:sz w:val="15"/>
          <w:szCs w:val="15"/>
          <w:color w:val="auto"/>
        </w:rPr>
        <w:t>.</w:t>
      </w:r>
    </w:p>
    <w:p>
      <w:pPr>
        <w:sectPr>
          <w:pgSz w:w="11900" w:h="16838" w:orient="portrait"/>
          <w:cols w:equalWidth="0" w:num="1">
            <w:col w:w="11260"/>
          </w:cols>
          <w:pgMar w:left="320" w:top="789" w:right="319" w:bottom="1440" w:gutter="0" w:footer="0" w:header="0"/>
        </w:sectPr>
      </w:pPr>
    </w:p>
    <w:p>
      <w:pPr>
        <w:spacing w:after="0" w:line="194" w:lineRule="exact"/>
        <w:rPr>
          <w:sz w:val="20"/>
          <w:szCs w:val="20"/>
          <w:color w:val="auto"/>
        </w:rPr>
      </w:pPr>
    </w:p>
    <w:p>
      <w:pPr>
        <w:ind w:firstLine="549"/>
        <w:spacing w:after="0" w:line="328" w:lineRule="auto"/>
        <w:rPr>
          <w:sz w:val="20"/>
          <w:szCs w:val="20"/>
          <w:color w:val="auto"/>
        </w:rPr>
      </w:pPr>
      <w:r>
        <w:rPr>
          <w:rFonts w:ascii="Times New Roman" w:cs="Times New Roman" w:eastAsia="Times New Roman" w:hAnsi="Times New Roman"/>
          <w:sz w:val="14"/>
          <w:szCs w:val="14"/>
          <w:color w:val="auto"/>
        </w:rPr>
        <w:t>Within [ ] days after [ a brief report dated as of such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53" w:right="20" w:firstLine="153"/>
        <w:spacing w:after="0" w:line="290" w:lineRule="auto"/>
        <w:tabs>
          <w:tab w:leader="none" w:pos="94"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each year, the Trustee shall transmit by mail to all Securityholders, as their names and addresses appear on the register kept by the Registrar, ], in accordance with, and to the extent required under, TIA Section 313.</w:t>
      </w:r>
    </w:p>
    <w:p>
      <w:pPr>
        <w:spacing w:after="0" w:line="132" w:lineRule="exact"/>
        <w:rPr>
          <w:sz w:val="20"/>
          <w:szCs w:val="20"/>
          <w:color w:val="auto"/>
        </w:rPr>
      </w:pPr>
    </w:p>
    <w:p>
      <w:pPr>
        <w:sectPr>
          <w:pgSz w:w="11900" w:h="16838" w:orient="portrait"/>
          <w:cols w:equalWidth="0" w:num="2">
            <w:col w:w="1900" w:space="533"/>
            <w:col w:w="8827"/>
          </w:cols>
          <w:pgMar w:left="320" w:top="789" w:right="319" w:bottom="1440" w:gutter="0" w:footer="0" w:header="0"/>
          <w:type w:val="continuous"/>
        </w:sect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color w:val="auto"/>
        </w:rPr>
        <w:t xml:space="preserve">SECTION 7.07.  </w:t>
      </w:r>
      <w:r>
        <w:rPr>
          <w:rFonts w:ascii="Times New Roman" w:cs="Times New Roman" w:eastAsia="Times New Roman" w:hAnsi="Times New Roman"/>
          <w:sz w:val="15"/>
          <w:szCs w:val="15"/>
          <w:u w:val="single" w:color="auto"/>
          <w:color w:val="auto"/>
        </w:rPr>
        <w:t>Compensation and Indemnity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Company shall pay to the Trustee from time to time such compensation for its services as shall be agreed upon in writing. The Trustee’s compensation shall not be limited by any law on compensation of a trustee of an express trust. The Company shall reimburse the Trustee upon request for all reasonable out-of-pocket expenses, disbursements and advances incurred by it. Such expenses shall include the reasonable compensation and expenses of the Trustee’s agents, counsel and other persons not regularly in its employ.</w:t>
      </w:r>
    </w:p>
    <w:p>
      <w:pPr>
        <w:spacing w:after="0" w:line="146"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Company shall indemnify, defend and hold harmless the Trustee and its officers, directors, employees, representatives and agents, from and against and reimburse the Trustee for any and all claims, expenses, obligations, liabilities, losses, damages, injuries (to person, property, or natural resources), penalties, stamp or other similar taxes, actions, suits, judgments, reasonable costs and expenses (including reasonable attorney’s and agent’s fees and expenses) of whatever kind or nature regardless of their merit, demanded, asserted or claimed against the Trustee directly or indirectly relating to, or arising from, claims against the Trustee by reason of its participation in the transactions contemplated hereby, including without limitation all reasonable costs required to be associated with claims for damages to persons or property, and reasonable attorneys’ and consultants’ fees and expenses and court costs except to the extent caused by the Trustee’s negligence or willful misconduct. The provisions of this Section 7.07 shall survive the termination of this Agreement or the earlier resignation or removal of the Trustee. The Company shall defend any claim and the Trustee shall cooperate in the defense. The Trustee may have separate counsel and the Company shall pay the reasonable fees and expenses of such counsel. The Company need not pay for any settlement made without its consent, which consent shall not be unreasonably withheld or delayed. This indemnification shall apply to officers, directors, employees, shareholders and agents of the Trustee.</w:t>
      </w:r>
    </w:p>
    <w:p>
      <w:pPr>
        <w:spacing w:after="0" w:line="156"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Company need not reimburse any expense or indemnify against any loss liability incurred by the Trustee or by any officer, director, employee, shareholder or agent of the Trustee through negligence or bad faith.</w:t>
      </w:r>
    </w:p>
    <w:p>
      <w:pPr>
        <w:spacing w:after="0" w:line="13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To secure the Company’s payment obligations in this Section, the Trustee shall have a lien prior to the Securities of any Series on all money or property held or collected by the Trustee, except that held in trust to pay principal and interest on particular Securities of that Series.</w:t>
      </w:r>
    </w:p>
    <w:p>
      <w:pPr>
        <w:spacing w:after="0" w:line="133"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When the Trustee incurs expenses or renders services after an Event of Default specified in Section 6.01(f) or (g) occurs, the expenses and the compensation for the services are intended to constitute expenses of administration under any Bankruptcy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7.08.  </w:t>
      </w:r>
      <w:r>
        <w:rPr>
          <w:rFonts w:ascii="Times New Roman" w:cs="Times New Roman" w:eastAsia="Times New Roman" w:hAnsi="Times New Roman"/>
          <w:sz w:val="15"/>
          <w:szCs w:val="15"/>
          <w:u w:val="single" w:color="auto"/>
          <w:color w:val="auto"/>
        </w:rPr>
        <w:t>Replacement of Trustee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 resignation or removal of the Trustee and appointment of a successor Trustee shall become effective only upon the successor Trustee’s acceptance of appointment as provided in this Section.</w:t>
      </w:r>
    </w:p>
    <w:p>
      <w:pPr>
        <w:spacing w:after="0" w:line="133"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Trustee may resign with respect to the Securities of one or more Series by so notifying the Company.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6" w:lineRule="exact"/>
        <w:rPr>
          <w:sz w:val="20"/>
          <w:szCs w:val="20"/>
          <w:color w:val="auto"/>
        </w:rPr>
      </w:pPr>
    </w:p>
    <w:p>
      <w:pPr>
        <w:ind w:left="740" w:hanging="199"/>
        <w:spacing w:after="0"/>
        <w:tabs>
          <w:tab w:leader="none" w:pos="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fails to comply with Section 7.10;</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is adjudged a bankrupt or an insolvent or an order for relief is entered with respect to the Trustee under any Bankruptcy Law;</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Custodian or public officer takes charge of the Trustee or its property; or</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becomes incapable of acting.</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8" w:name="page149"/>
    <w:bookmarkEnd w:id="148"/>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If a successor Trustee with respect to the Securities of any one or more Series does not take office within [ ] days after the retiring Trustee resigns or is removed, the retiring Trustee, the Company or the Holders of at least [ ]% in principal amount of the Securities of the applicable Series may petition any court of competent jurisdiction for the appointment of a successor Trustee.</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and subject to the payment of any and all amounts then due and owing to the retiring Trustee,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7.08, the Company’s obligations under Section 7.07 hereof shall continue for the benefit of the retiring trustee with respect to expenses and liabilities incurred by it prior to such replacement.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7.09.  </w:t>
      </w:r>
      <w:r>
        <w:rPr>
          <w:rFonts w:ascii="Times New Roman" w:cs="Times New Roman" w:eastAsia="Times New Roman" w:hAnsi="Times New Roman"/>
          <w:sz w:val="15"/>
          <w:szCs w:val="15"/>
          <w:u w:val="single" w:color="auto"/>
          <w:color w:val="auto"/>
        </w:rPr>
        <w:t>Successor Trustee by Merger,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If the Trustee consolidates with, merges or converts into, or transfers all or substantially all of its corporate trust business to, another corporation, the successor corporation without any further act shall be the successor Trustee with the same effect as if the successor Trustee had been named as the Trustee herein.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7.10.  </w:t>
      </w:r>
      <w:r>
        <w:rPr>
          <w:rFonts w:ascii="Times New Roman" w:cs="Times New Roman" w:eastAsia="Times New Roman" w:hAnsi="Times New Roman"/>
          <w:sz w:val="15"/>
          <w:szCs w:val="15"/>
          <w:u w:val="single" w:color="auto"/>
          <w:color w:val="auto"/>
        </w:rPr>
        <w:t>Eligibility; Disqualification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shall always have a Trustee who satisfies the requirements of TIA Section 310(a)(1), (2) and (5). The Trustee shall always have a combined capital and surplus of at least $[ ] as set forth in its most recent published annual report of condition. The Trustee shall comply with TIA Section 310(b).</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7.11.  </w:t>
      </w:r>
      <w:r>
        <w:rPr>
          <w:rFonts w:ascii="Times New Roman" w:cs="Times New Roman" w:eastAsia="Times New Roman" w:hAnsi="Times New Roman"/>
          <w:sz w:val="15"/>
          <w:szCs w:val="15"/>
          <w:u w:val="single" w:color="auto"/>
          <w:color w:val="auto"/>
        </w:rPr>
        <w:t>Preferential Collection of Claims Against Company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Trustee is subject to TIA Section 311(a), excluding any creditor relationship listed in TIA Section 311(b). A Trustee who has resigned or been removed shall be subject to TTA Section 311(a) to the extent indicated.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VIII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SATISFACTION AND DISCHARGE; DEFEASANCE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u w:val="single" w:color="auto"/>
          <w:color w:val="auto"/>
        </w:rPr>
        <w:t>Satisfaction and Discharge of Indenture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shall upon Company Order cease to be of further effect (except as hereinafter provided in this Section 8.01), and the Trustee, on the demand of and at the expense of the Company, shall execute proper instruments acknowledging satisfaction and discharge of this Indenture, when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either</w:t>
      </w:r>
    </w:p>
    <w:p>
      <w:pPr>
        <w:spacing w:after="0" w:line="194" w:lineRule="exact"/>
        <w:rPr>
          <w:sz w:val="20"/>
          <w:szCs w:val="20"/>
          <w:color w:val="auto"/>
        </w:rPr>
      </w:pPr>
    </w:p>
    <w:p>
      <w:pPr>
        <w:ind w:firstLine="541"/>
        <w:spacing w:after="0" w:line="290" w:lineRule="auto"/>
        <w:tabs>
          <w:tab w:leader="none" w:pos="733"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theretofore authenticated and delivered (other than Securities that have been destroyed, lost or stolen and that have been replaced or paid) have been delivered to the Trustee for cancellation; or</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such Securities not theretofore delivered to the Trustee for cancellation have become due and payable, or</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 have become due and payable, or</w:t>
      </w:r>
    </w:p>
    <w:p>
      <w:pPr>
        <w:spacing w:after="0" w:line="194" w:lineRule="exact"/>
        <w:rPr>
          <w:sz w:val="20"/>
          <w:szCs w:val="20"/>
          <w:color w:val="auto"/>
        </w:rPr>
      </w:pPr>
    </w:p>
    <w:p>
      <w:pPr>
        <w:ind w:left="540"/>
        <w:spacing w:after="0"/>
        <w:tabs>
          <w:tab w:leader="none" w:pos="4880" w:val="left"/>
        </w:tabs>
        <w:rPr>
          <w:sz w:val="20"/>
          <w:szCs w:val="20"/>
          <w:color w:val="auto"/>
        </w:rPr>
      </w:pPr>
      <w:r>
        <w:rPr>
          <w:rFonts w:ascii="Times New Roman" w:cs="Times New Roman" w:eastAsia="Times New Roman" w:hAnsi="Times New Roman"/>
          <w:sz w:val="15"/>
          <w:szCs w:val="15"/>
          <w:color w:val="auto"/>
        </w:rPr>
        <w:t>(2) will become due and payable at their Stated Maturity within [</w:t>
      </w:r>
      <w:r>
        <w:rPr>
          <w:sz w:val="20"/>
          <w:szCs w:val="20"/>
          <w:color w:val="auto"/>
        </w:rPr>
        <w:tab/>
      </w:r>
      <w:r>
        <w:rPr>
          <w:rFonts w:ascii="Times New Roman" w:cs="Times New Roman" w:eastAsia="Times New Roman" w:hAnsi="Times New Roman"/>
          <w:sz w:val="14"/>
          <w:szCs w:val="14"/>
          <w:color w:val="auto"/>
        </w:rPr>
        <w:t>], or</w:t>
      </w:r>
    </w:p>
    <w:p>
      <w:pPr>
        <w:spacing w:after="0" w:line="194" w:lineRule="exact"/>
        <w:rPr>
          <w:sz w:val="20"/>
          <w:szCs w:val="20"/>
          <w:color w:val="auto"/>
        </w:rPr>
      </w:pPr>
    </w:p>
    <w:p>
      <w:pPr>
        <w:ind w:right="20" w:firstLine="541"/>
        <w:spacing w:after="0" w:line="290" w:lineRule="auto"/>
        <w:tabs>
          <w:tab w:leader="none" w:pos="76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to be called for redemption within [ ] under arrangements satisfactory to the Trustee for the giving of notice of redemption by the Trustee in the name, and at the expense, of the Company, or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9" w:name="page150"/>
    <w:bookmarkEnd w:id="149"/>
    <w:p>
      <w:pPr>
        <w:jc w:val="both"/>
        <w:ind w:firstLine="541"/>
        <w:spacing w:after="0" w:line="266" w:lineRule="auto"/>
        <w:tabs>
          <w:tab w:leader="none" w:pos="768"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are deemed paid and discharged pursuant to section 8.03, as applicable; and the Company, in the case of (1), (2) or (3) above, has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51" w:lineRule="exact"/>
        <w:rPr>
          <w:sz w:val="20"/>
          <w:szCs w:val="20"/>
          <w:color w:val="auto"/>
        </w:rPr>
      </w:pPr>
    </w:p>
    <w:p>
      <w:pPr>
        <w:ind w:left="760" w:hanging="219"/>
        <w:spacing w:after="0"/>
        <w:tabs>
          <w:tab w:leader="none" w:pos="76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caused to be paid all other sums payable hereunder by the Company; and</w:t>
      </w:r>
    </w:p>
    <w:p>
      <w:pPr>
        <w:spacing w:after="0" w:line="193" w:lineRule="exact"/>
        <w:rPr>
          <w:rFonts w:ascii="Times New Roman" w:cs="Times New Roman" w:eastAsia="Times New Roman" w:hAnsi="Times New Roman"/>
          <w:sz w:val="15"/>
          <w:szCs w:val="15"/>
          <w:color w:val="auto"/>
        </w:rPr>
      </w:pPr>
    </w:p>
    <w:p>
      <w:pPr>
        <w:jc w:val="both"/>
        <w:ind w:firstLine="541"/>
        <w:spacing w:after="0" w:line="272" w:lineRule="auto"/>
        <w:tabs>
          <w:tab w:leader="none" w:pos="765"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to the Trustee an Officers’ Certificate and an Opinion of Counsel, each meeting the applicable requirements of Sections 10.04 and 10.05 and each stating that all conditions precedent herein relating to the satisfaction and discharge of this Indenture have been complied with and the Trustee receives written demand from the Company to discharge.</w:t>
      </w:r>
    </w:p>
    <w:p>
      <w:pPr>
        <w:spacing w:after="0" w:line="146"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the obligations of the Company to the Trustee under Section 7.07, and, if money shall have been deposited with the Trustee pursuant to clause (a) of this Section, the provisions of Sections 2.04, 2.07, 2.08, 8.01 8.02 and 8.05 shall survive.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8.02.  </w:t>
      </w:r>
      <w:r>
        <w:rPr>
          <w:rFonts w:ascii="Times New Roman" w:cs="Times New Roman" w:eastAsia="Times New Roman" w:hAnsi="Times New Roman"/>
          <w:sz w:val="15"/>
          <w:szCs w:val="15"/>
          <w:u w:val="single" w:color="auto"/>
          <w:color w:val="auto"/>
        </w:rPr>
        <w:t>Application of Trust Funds; Indemnification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1"/>
        <w:spacing w:after="0" w:line="261" w:lineRule="auto"/>
        <w:tabs>
          <w:tab w:leader="none" w:pos="785"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8.03 or 8.04.</w:t>
      </w:r>
    </w:p>
    <w:p>
      <w:pPr>
        <w:spacing w:after="0" w:line="156" w:lineRule="exact"/>
        <w:rPr>
          <w:rFonts w:ascii="Times New Roman" w:cs="Times New Roman" w:eastAsia="Times New Roman" w:hAnsi="Times New Roman"/>
          <w:sz w:val="15"/>
          <w:szCs w:val="15"/>
          <w:color w:val="auto"/>
        </w:rPr>
      </w:pPr>
    </w:p>
    <w:p>
      <w:pPr>
        <w:jc w:val="both"/>
        <w:ind w:firstLine="541"/>
        <w:spacing w:after="0" w:line="272" w:lineRule="auto"/>
        <w:tabs>
          <w:tab w:leader="none" w:pos="771"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pay and shall indemnify the Trustee and the Agents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46" w:lineRule="exact"/>
        <w:rPr>
          <w:rFonts w:ascii="Times New Roman" w:cs="Times New Roman" w:eastAsia="Times New Roman" w:hAnsi="Times New Roman"/>
          <w:sz w:val="15"/>
          <w:szCs w:val="15"/>
          <w:color w:val="auto"/>
        </w:rPr>
      </w:pPr>
    </w:p>
    <w:p>
      <w:pPr>
        <w:jc w:val="both"/>
        <w:ind w:firstLine="541"/>
        <w:spacing w:after="0" w:line="261" w:lineRule="auto"/>
        <w:tabs>
          <w:tab w:leader="none" w:pos="771"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in accordance with the terms of this Indenture, deliver or pay to the Company from time to time, upon Company Request and at the expense of the Company any U.S. Government Obligations or Foreign Government Obligations or money held by it pursuant to this Indenture as provided in Sections 8.03 or 8.04 which, in the opinion of a nationally recognized firm of independent certified public accountants, expressed in a written certification thereof and delivered to the Trustee together with such Company Request,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color w:val="auto"/>
        </w:rPr>
        <w:t xml:space="preserve">SECTION 8.03.  </w:t>
      </w:r>
      <w:r>
        <w:rPr>
          <w:rFonts w:ascii="Times New Roman" w:cs="Times New Roman" w:eastAsia="Times New Roman" w:hAnsi="Times New Roman"/>
          <w:sz w:val="15"/>
          <w:szCs w:val="15"/>
          <w:u w:val="single" w:color="auto"/>
          <w:color w:val="auto"/>
        </w:rPr>
        <w:t>Legal Defeasance of Securities of any Series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Unless this Section 8.03 is otherwise specified, pursuant to Section 2.02(s), to be inapplicable to Securities of any Series, the Company shall be deemed to have paid and discharged the entire indebtedness on all the outstanding Securities of such Series on the [ ]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51" w:lineRule="exact"/>
        <w:rPr>
          <w:sz w:val="20"/>
          <w:szCs w:val="20"/>
          <w:color w:val="auto"/>
        </w:rPr>
      </w:pPr>
    </w:p>
    <w:p>
      <w:pPr>
        <w:jc w:val="both"/>
        <w:ind w:firstLine="541"/>
        <w:spacing w:after="0" w:line="266" w:lineRule="auto"/>
        <w:tabs>
          <w:tab w:leader="none" w:pos="761"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of Sections 2.04, 2.07, 2.08, 2.14, 8.02, 8.03 and 8.05; and</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 and immunities of the Trustee hereunder; provided that, the following conditions shall have been satisfied:</w:t>
      </w:r>
    </w:p>
    <w:p>
      <w:pPr>
        <w:spacing w:after="0" w:line="193" w:lineRule="exact"/>
        <w:rPr>
          <w:rFonts w:ascii="Times New Roman" w:cs="Times New Roman" w:eastAsia="Times New Roman" w:hAnsi="Times New Roman"/>
          <w:sz w:val="15"/>
          <w:szCs w:val="15"/>
          <w:color w:val="auto"/>
        </w:rPr>
      </w:pPr>
    </w:p>
    <w:p>
      <w:pPr>
        <w:jc w:val="both"/>
        <w:ind w:firstLine="541"/>
        <w:spacing w:after="0" w:line="260" w:lineRule="auto"/>
        <w:tabs>
          <w:tab w:leader="none" w:pos="773"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deposited or caused to be deposited irrevocably with the Paying Agent as trust funds in trust for the purpose of making the following payments, specifically pledged as security for and dedicated solely to the benefit of the Holders of such Securities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 in respect thereof, in</w:t>
      </w:r>
    </w:p>
    <w:p>
      <w:pPr>
        <w:jc w:val="both"/>
        <w:spacing w:after="0" w:line="259" w:lineRule="auto"/>
        <w:rPr>
          <w:sz w:val="20"/>
          <w:szCs w:val="20"/>
          <w:color w:val="auto"/>
        </w:rPr>
      </w:pPr>
      <w:r>
        <w:rPr>
          <w:rFonts w:ascii="Times New Roman" w:cs="Times New Roman" w:eastAsia="Times New Roman" w:hAnsi="Times New Roman"/>
          <w:sz w:val="15"/>
          <w:szCs w:val="15"/>
          <w:color w:val="auto"/>
        </w:rPr>
        <w:t>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public accountants expressed in a written certification thereof delivered to the Trustee and the Paying Agent, to pay and discharge each installment of principal (including mandatory sinking fund or analogous payments) of and interest, if any, on all the Securities of such Series on the dates such installments of interest or principal are due;</w:t>
      </w:r>
    </w:p>
    <w:p>
      <w:pPr>
        <w:spacing w:after="0" w:line="156" w:lineRule="exact"/>
        <w:rPr>
          <w:sz w:val="20"/>
          <w:szCs w:val="20"/>
          <w:color w:val="auto"/>
        </w:rPr>
      </w:pPr>
    </w:p>
    <w:p>
      <w:pPr>
        <w:ind w:firstLine="541"/>
        <w:spacing w:after="0" w:line="290" w:lineRule="auto"/>
        <w:tabs>
          <w:tab w:leader="none" w:pos="758"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41"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 ] day after such date;</w:t>
      </w:r>
    </w:p>
    <w:p>
      <w:pPr>
        <w:spacing w:after="0" w:line="132" w:lineRule="exact"/>
        <w:rPr>
          <w:rFonts w:ascii="Times New Roman" w:cs="Times New Roman" w:eastAsia="Times New Roman" w:hAnsi="Times New Roman"/>
          <w:sz w:val="15"/>
          <w:szCs w:val="15"/>
          <w:color w:val="auto"/>
        </w:rPr>
      </w:pPr>
    </w:p>
    <w:p>
      <w:pPr>
        <w:jc w:val="both"/>
        <w:ind w:firstLine="541"/>
        <w:spacing w:after="0" w:line="263" w:lineRule="auto"/>
        <w:tabs>
          <w:tab w:leader="none" w:pos="769"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53" w:lineRule="exact"/>
        <w:rPr>
          <w:rFonts w:ascii="Times New Roman" w:cs="Times New Roman" w:eastAsia="Times New Roman" w:hAnsi="Times New Roman"/>
          <w:sz w:val="15"/>
          <w:szCs w:val="15"/>
          <w:color w:val="auto"/>
        </w:rPr>
      </w:pPr>
    </w:p>
    <w:p>
      <w:pPr>
        <w:ind w:firstLine="541"/>
        <w:spacing w:after="0" w:line="290" w:lineRule="auto"/>
        <w:tabs>
          <w:tab w:leader="none" w:pos="769"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34"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shall not result in the trust arising from such deposit constituting an investment company (as defined in the Investment Company Act of 1940, as amended), or such trust shall be qualified under such Act or exempt from regulation thereunder; and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39"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5"/>
          <w:szCs w:val="15"/>
          <w:color w:val="auto"/>
        </w:rPr>
        <w:t xml:space="preserve">SECTION 8.04.  </w:t>
      </w:r>
      <w:r>
        <w:rPr>
          <w:rFonts w:ascii="Times New Roman" w:cs="Times New Roman" w:eastAsia="Times New Roman" w:hAnsi="Times New Roman"/>
          <w:sz w:val="15"/>
          <w:szCs w:val="15"/>
          <w:u w:val="single" w:color="auto"/>
          <w:color w:val="auto"/>
        </w:rPr>
        <w:t>Covenant Defeasance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2" w:lineRule="auto"/>
        <w:rPr>
          <w:sz w:val="20"/>
          <w:szCs w:val="20"/>
          <w:color w:val="auto"/>
        </w:rPr>
      </w:pPr>
      <w:r>
        <w:rPr>
          <w:rFonts w:ascii="Times New Roman" w:cs="Times New Roman" w:eastAsia="Times New Roman" w:hAnsi="Times New Roman"/>
          <w:sz w:val="15"/>
          <w:szCs w:val="15"/>
          <w:color w:val="auto"/>
        </w:rPr>
        <w:t>Unless this Section 8.04 is otherwise specified pursuant to Section 2.02(s) to be inapplicable to Securities of any Series, on and after the [ ] day after the date of the deposit referred to in subparagraph (a) hereof, the Company may omit to comply with any term, provision or condition set forth under Sections 4.02, 4.03, 4.04, 4.05, 4.06, and 5.01 as well as any additional covenants contained in a supplemental indenture hereto for a particular Series of Securities or a Board Resolution or an Officers’ Certificate delivered pursuant to Section 2.02(s) (and the failure to comply with any such covenants shall not constitute a Default or Event of Default under Section 6.01) and the occurrence of any event described in clause (e) of Section 6.01 shall not constitute a Default or Event of Default hereunder, with respect to the Securities of such Series, provided that the following conditions shall have been satisfied:</w:t>
      </w:r>
    </w:p>
    <w:p>
      <w:pPr>
        <w:spacing w:after="0" w:line="341" w:lineRule="exact"/>
        <w:rPr>
          <w:sz w:val="20"/>
          <w:szCs w:val="20"/>
          <w:color w:val="auto"/>
        </w:rPr>
      </w:pPr>
    </w:p>
    <w:p>
      <w:pPr>
        <w:jc w:val="both"/>
        <w:ind w:firstLine="541"/>
        <w:spacing w:after="0" w:line="260" w:lineRule="auto"/>
        <w:tabs>
          <w:tab w:leader="none" w:pos="758"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reference to this Section 8.04, the Company has deposited or caused to be irrevocably deposited (except as provided in Section 8.02(c)) with the Paying Agent as trust funds in trust, specifically pledged as security for, and dedicated solely to, the benefit of the Holders of such Securities (i) in the case of Securities of such Series denominated in Dollars, cash in Dollars (or such other money or currencies as shall then be legal tender in the United States) and/or U.S. Government Obligations, or (ii) in the case of Securities of such Series denominated in a Foreign Currency (other than a composite currency), money and/or Foreign Government Obligations, which through the payment of interest and principal</w:t>
      </w:r>
    </w:p>
    <w:p>
      <w:pPr>
        <w:jc w:val="both"/>
        <w:spacing w:after="0" w:line="259" w:lineRule="auto"/>
        <w:rPr>
          <w:sz w:val="20"/>
          <w:szCs w:val="20"/>
          <w:color w:val="auto"/>
        </w:rPr>
      </w:pPr>
      <w:r>
        <w:rPr>
          <w:rFonts w:ascii="Times New Roman" w:cs="Times New Roman" w:eastAsia="Times New Roman" w:hAnsi="Times New Roman"/>
          <w:sz w:val="15"/>
          <w:szCs w:val="15"/>
          <w:color w:val="auto"/>
        </w:rPr>
        <w:t>in respect thereof, in accordance with their terms, will provide (and without reinvestment and assuming no tax liability will be imposed on such Paying Agent), not later than [ ] day before the due date of any payment of money, an amount in cash, sufficient, in the opinion of a nationally recognized firm of independent certified public accountants expressed in a written certification thereof delivered to the Paying Agent, to pay principal and interest, if any, on and any mandatory sinking fund in respect of the Securities of such Series on the dates such installments of interest or principal are due;</w:t>
      </w:r>
    </w:p>
    <w:p>
      <w:pPr>
        <w:spacing w:after="0" w:line="156" w:lineRule="exact"/>
        <w:rPr>
          <w:sz w:val="20"/>
          <w:szCs w:val="20"/>
          <w:color w:val="auto"/>
        </w:rPr>
      </w:pPr>
    </w:p>
    <w:p>
      <w:pPr>
        <w:ind w:right="20" w:firstLine="541"/>
        <w:spacing w:after="0" w:line="290" w:lineRule="auto"/>
        <w:tabs>
          <w:tab w:leader="none" w:pos="766"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deposit will not result in a breach or violation of, or constitute a default under, this Indenture or any other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63"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Default or Event of Default with respect to the Securities of such Series shall have occurred and be continuing on the date of such deposit or during the period ending on the [ ] day after such date;</w:t>
      </w:r>
    </w:p>
    <w:p>
      <w:pPr>
        <w:spacing w:after="0" w:line="132" w:lineRule="exact"/>
        <w:rPr>
          <w:rFonts w:ascii="Times New Roman" w:cs="Times New Roman" w:eastAsia="Times New Roman" w:hAnsi="Times New Roman"/>
          <w:sz w:val="15"/>
          <w:szCs w:val="15"/>
          <w:color w:val="auto"/>
        </w:rPr>
      </w:pPr>
    </w:p>
    <w:p>
      <w:pPr>
        <w:jc w:val="both"/>
        <w:ind w:right="20" w:firstLine="541"/>
        <w:spacing w:after="0" w:line="272" w:lineRule="auto"/>
        <w:tabs>
          <w:tab w:leader="none" w:pos="76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Opinion of Counsel confirming that Holders of the Securities of such Series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46" w:lineRule="exact"/>
        <w:rPr>
          <w:rFonts w:ascii="Times New Roman" w:cs="Times New Roman" w:eastAsia="Times New Roman" w:hAnsi="Times New Roman"/>
          <w:sz w:val="15"/>
          <w:szCs w:val="15"/>
          <w:color w:val="auto"/>
        </w:rPr>
      </w:pPr>
    </w:p>
    <w:p>
      <w:pPr>
        <w:ind w:right="20" w:firstLine="541"/>
        <w:spacing w:after="0" w:line="290" w:lineRule="auto"/>
        <w:tabs>
          <w:tab w:leader="none" w:pos="763"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132" w:lineRule="exact"/>
        <w:rPr>
          <w:rFonts w:ascii="Times New Roman" w:cs="Times New Roman" w:eastAsia="Times New Roman" w:hAnsi="Times New Roman"/>
          <w:sz w:val="15"/>
          <w:szCs w:val="15"/>
          <w:color w:val="auto"/>
        </w:rPr>
      </w:pPr>
    </w:p>
    <w:p>
      <w:pPr>
        <w:ind w:right="20" w:firstLine="541"/>
        <w:spacing w:after="0" w:line="290" w:lineRule="auto"/>
        <w:tabs>
          <w:tab w:leader="none" w:pos="744"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herein provided for relating to the defeasance contemplated by this Section have been complied with.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8.05.  </w:t>
      </w:r>
      <w:r>
        <w:rPr>
          <w:rFonts w:ascii="Times New Roman" w:cs="Times New Roman" w:eastAsia="Times New Roman" w:hAnsi="Times New Roman"/>
          <w:sz w:val="15"/>
          <w:szCs w:val="15"/>
          <w:u w:val="single" w:color="auto"/>
          <w:color w:val="auto"/>
        </w:rPr>
        <w:t>Repayment to Company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all liability of the Paying Agent with respect to that money shall cease.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5"/>
          <w:szCs w:val="15"/>
          <w:color w:val="auto"/>
        </w:rPr>
        <w:t>ARTICLE IX</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AMENDMENTS AND WAIVERS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u w:val="single" w:color="auto"/>
          <w:color w:val="auto"/>
        </w:rPr>
        <w:t>Without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and the Trustee may amend or supplement this Indenture or the Securities of one or more Series without the consent of any Securityholder:</w:t>
      </w:r>
    </w:p>
    <w:p>
      <w:pPr>
        <w:spacing w:after="0" w:line="194" w:lineRule="exact"/>
        <w:rPr>
          <w:sz w:val="20"/>
          <w:szCs w:val="20"/>
          <w:color w:val="auto"/>
        </w:rPr>
      </w:pPr>
    </w:p>
    <w:p>
      <w:pPr>
        <w:ind w:left="740" w:hanging="199"/>
        <w:spacing w:after="0"/>
        <w:tabs>
          <w:tab w:leader="none" w:pos="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Article V;</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Securities in addition to or in place of certificated Securities;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rights of any Securityholder;</w:t>
      </w:r>
    </w:p>
    <w:p>
      <w:pPr>
        <w:spacing w:after="0" w:line="193"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Securities of any Series as permitted by this Indenture;</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requirements of the TIA and any rules promulgated under the TIA; and</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of the Company for the equal and ratable benefit of the Holders or to surrender any right, power or option conferred upon the Company.</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Any amendment or supplement made solely to conform the provisions of this Indenture or the Securities of any Series to the description thereof contained in the final prospectus relating to such Series will be deemed not to adversely affect the rights of any Holder.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9.02.  </w:t>
      </w:r>
      <w:r>
        <w:rPr>
          <w:rFonts w:ascii="Times New Roman" w:cs="Times New Roman" w:eastAsia="Times New Roman" w:hAnsi="Times New Roman"/>
          <w:sz w:val="15"/>
          <w:szCs w:val="15"/>
          <w:u w:val="single" w:color="auto"/>
          <w:color w:val="auto"/>
        </w:rPr>
        <w:t>With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The Company and the Trustee may enter into a supplemental indenture with the written consent of the Holders of at least a majority in principal amount of the outstanding Securities of all Series affected by such supplemental indenture, taken together as one class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all Series affected by such waiver by notice to the Trustee, taken together as one class (including consents obtained in connection with a tender offer or exchange offer for the Securities of such Series) may waive compliance by the Company with any provision of this Indenture or the Securities with respect to such Series.</w:t>
      </w:r>
    </w:p>
    <w:p>
      <w:pPr>
        <w:spacing w:after="0" w:line="157"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9.03.  </w:t>
      </w:r>
      <w:r>
        <w:rPr>
          <w:rFonts w:ascii="Times New Roman" w:cs="Times New Roman" w:eastAsia="Times New Roman" w:hAnsi="Times New Roman"/>
          <w:sz w:val="15"/>
          <w:szCs w:val="15"/>
          <w:u w:val="single" w:color="auto"/>
          <w:color w:val="auto"/>
        </w:rPr>
        <w:t>Limitations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Without the consent of each Securityholder affected, an amendment or waiver may not:</w:t>
      </w:r>
    </w:p>
    <w:p>
      <w:pPr>
        <w:spacing w:after="0" w:line="194" w:lineRule="exact"/>
        <w:rPr>
          <w:sz w:val="20"/>
          <w:szCs w:val="20"/>
          <w:color w:val="auto"/>
        </w:rPr>
      </w:pPr>
    </w:p>
    <w:p>
      <w:pPr>
        <w:ind w:firstLine="541"/>
        <w:spacing w:after="0" w:line="290" w:lineRule="auto"/>
        <w:tabs>
          <w:tab w:leader="none" w:pos="77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amount of Securities whose Holders must consent to an amendment, supplement or waiver, except to increase any such amount or to provide that certain provisions of this Indenture cannot be modified, amended or waived without the consent of the Holder of each outstanding Security affected thereby;</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amount of interest, or change the interest payment time, on any Security;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3" w:name="page154"/>
    <w:bookmarkEnd w:id="153"/>
    <w:p>
      <w:pPr>
        <w:ind w:firstLine="541"/>
        <w:spacing w:after="0" w:line="290" w:lineRule="auto"/>
        <w:tabs>
          <w:tab w:leader="none" w:pos="757"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redemption payment or alter the redemption provisions (other than any alteration that would not materially adversely affect the legal rights of any Holder under this Indenture) or the price at which the Company is required to offer to purchase the Securities;</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or change the Stated Maturity of any Security or reduce the amount of, or postpone the date fixed for, the payment of any sinking fund or analogous</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w:t>
      </w:r>
    </w:p>
    <w:p>
      <w:pPr>
        <w:spacing w:after="0" w:line="179" w:lineRule="exact"/>
        <w:rPr>
          <w:rFonts w:ascii="Times New Roman" w:cs="Times New Roman" w:eastAsia="Times New Roman" w:hAnsi="Times New Roman"/>
          <w:sz w:val="15"/>
          <w:szCs w:val="15"/>
          <w:color w:val="auto"/>
        </w:rPr>
      </w:pPr>
    </w:p>
    <w:p>
      <w:pPr>
        <w:ind w:left="740" w:hanging="199"/>
        <w:spacing w:after="0"/>
        <w:tabs>
          <w:tab w:leader="none" w:pos="7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principal amount payable of any Security upon Maturity;</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744"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place or currency of payment of principal of or interest, if any, on any Security other than that stated in the Security;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of any Holder to receive payment of principal or, or interest on, the Securities of such Holder on or after the due dates therefor;</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impair the right to institute suit for the enforcement of any payment on, or with respect to, any Security;</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Sections 10.15 or 10.16;</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ranking of the Securities; or</w:t>
      </w:r>
    </w:p>
    <w:p>
      <w:pPr>
        <w:spacing w:after="0" w:line="193" w:lineRule="exact"/>
        <w:rPr>
          <w:rFonts w:ascii="Times New Roman" w:cs="Times New Roman" w:eastAsia="Times New Roman" w:hAnsi="Times New Roman"/>
          <w:sz w:val="15"/>
          <w:szCs w:val="15"/>
          <w:color w:val="auto"/>
        </w:rPr>
      </w:pPr>
    </w:p>
    <w:p>
      <w:pPr>
        <w:ind w:left="720" w:hanging="179"/>
        <w:spacing w:after="0"/>
        <w:tabs>
          <w:tab w:leader="none" w:pos="72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other change which is specified in a Board Resolution, a supplemental indenture hereto or an Officers’ Certificate as a limitation under this Section.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the avoidance of doubt, any amendment or waiver shall always be subject to the consent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9.04.  </w:t>
      </w:r>
      <w:r>
        <w:rPr>
          <w:rFonts w:ascii="Times New Roman" w:cs="Times New Roman" w:eastAsia="Times New Roman" w:hAnsi="Times New Roman"/>
          <w:sz w:val="15"/>
          <w:szCs w:val="15"/>
          <w:u w:val="single" w:color="auto"/>
          <w:color w:val="auto"/>
        </w:rPr>
        <w:t>Compliance with Trust Indenture Act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Every amendment to this Indenture or the Securities of one or more Series shall be set forth in a supplemental indenture hereto that complies with the TIA as then in effect.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9.05.  </w:t>
      </w:r>
      <w:r>
        <w:rPr>
          <w:rFonts w:ascii="Times New Roman" w:cs="Times New Roman" w:eastAsia="Times New Roman" w:hAnsi="Times New Roman"/>
          <w:sz w:val="15"/>
          <w:szCs w:val="15"/>
          <w:u w:val="single" w:color="auto"/>
          <w:color w:val="auto"/>
        </w:rPr>
        <w:t>Revocation and Effect of Consents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spacing w:after="0" w:line="151"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Any amendment or waiver once effective shall bind every Securityholder of each Series affected by such amendment or waiver unless it is of the type described in any of clauses (a) through (g)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9.06.  </w:t>
      </w:r>
      <w:r>
        <w:rPr>
          <w:rFonts w:ascii="Times New Roman" w:cs="Times New Roman" w:eastAsia="Times New Roman" w:hAnsi="Times New Roman"/>
          <w:sz w:val="15"/>
          <w:szCs w:val="15"/>
          <w:u w:val="single" w:color="auto"/>
          <w:color w:val="auto"/>
        </w:rPr>
        <w:t>Notation on or Exchange of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If an amendment, supplement or waiver changes the terms of a Security, the Trustee may require the Holder of the Security to deliver it to the Trustee and the Trustee may place an appropriate notation on the Security about the changed terms and return it to the Holder. Alternatively, if the Company or the Trustee so determines, the Company shall issue and the Trustee shall authenticate upon request new Securities of that Series that reflect the changed terms.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9.07.  </w:t>
      </w:r>
      <w:r>
        <w:rPr>
          <w:rFonts w:ascii="Times New Roman" w:cs="Times New Roman" w:eastAsia="Times New Roman" w:hAnsi="Times New Roman"/>
          <w:sz w:val="15"/>
          <w:szCs w:val="15"/>
          <w:u w:val="single" w:color="auto"/>
          <w:color w:val="auto"/>
        </w:rPr>
        <w:t>Trustee Protected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7.01) shall be fully protected in relying upon, an Opinion of Counsel or an Officer’s Certificate, or both stating that the execution of such supplemental indenture is authorized or permitted by this Indenture. The Trustee shall sign all supplemental indentures, except that the Trustee need not sign any supplemental indenture that adversely affects its rights, duties or indemnities.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4" w:name="page155"/>
    <w:bookmarkEnd w:id="154"/>
    <w:p>
      <w:pPr>
        <w:ind w:left="8"/>
        <w:spacing w:after="0"/>
        <w:rPr>
          <w:sz w:val="20"/>
          <w:szCs w:val="20"/>
          <w:color w:val="auto"/>
        </w:rPr>
      </w:pPr>
      <w:r>
        <w:rPr>
          <w:rFonts w:ascii="Times New Roman" w:cs="Times New Roman" w:eastAsia="Times New Roman" w:hAnsi="Times New Roman"/>
          <w:sz w:val="15"/>
          <w:szCs w:val="15"/>
          <w:color w:val="auto"/>
        </w:rPr>
        <w:t xml:space="preserve">SECTION 9.08.  </w:t>
      </w:r>
      <w:r>
        <w:rPr>
          <w:rFonts w:ascii="Times New Roman" w:cs="Times New Roman" w:eastAsia="Times New Roman" w:hAnsi="Times New Roman"/>
          <w:sz w:val="15"/>
          <w:szCs w:val="15"/>
          <w:u w:val="single" w:color="auto"/>
          <w:color w:val="auto"/>
        </w:rPr>
        <w:t>Effect of Supplemental Indenture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firstLine="549"/>
        <w:spacing w:after="0" w:line="272" w:lineRule="auto"/>
        <w:rPr>
          <w:sz w:val="20"/>
          <w:szCs w:val="20"/>
          <w:color w:val="auto"/>
        </w:rPr>
      </w:pPr>
      <w:r>
        <w:rPr>
          <w:rFonts w:ascii="Times New Roman" w:cs="Times New Roman" w:eastAsia="Times New Roman" w:hAnsi="Times New Roman"/>
          <w:sz w:val="15"/>
          <w:szCs w:val="15"/>
          <w:color w:val="auto"/>
        </w:rPr>
        <w:t>Upon the execution of any supplemental indenture under this Article, this Indenture shall be modified in accordance therewith, and each such supplemental indenture shall form part of this Indenture for all purposes with respect to the relevant Series; and every Holder of Securities of the relevant Series theretofore or thereafter authenticated and delivered hereunder shall be bound thereby.</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ARTICLE X</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MISCELLANEOUS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10.01. </w:t>
      </w:r>
      <w:r>
        <w:rPr>
          <w:rFonts w:ascii="Times New Roman" w:cs="Times New Roman" w:eastAsia="Times New Roman" w:hAnsi="Times New Roman"/>
          <w:sz w:val="15"/>
          <w:szCs w:val="15"/>
          <w:u w:val="single" w:color="auto"/>
          <w:color w:val="auto"/>
        </w:rPr>
        <w:t>Trust Indenture Act Controls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firstLine="549"/>
        <w:spacing w:after="0" w:line="290" w:lineRule="auto"/>
        <w:rPr>
          <w:sz w:val="20"/>
          <w:szCs w:val="20"/>
          <w:color w:val="auto"/>
        </w:rPr>
      </w:pPr>
      <w:r>
        <w:rPr>
          <w:rFonts w:ascii="Times New Roman" w:cs="Times New Roman" w:eastAsia="Times New Roman" w:hAnsi="Times New Roman"/>
          <w:sz w:val="15"/>
          <w:szCs w:val="15"/>
          <w:color w:val="auto"/>
        </w:rPr>
        <w:t>If any provision of this Indenture limits, qualifies, or conflicts with another provision which is required or deemed to be included in this Indenture by the TIA, such required or deemed provision shall control.</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 xml:space="preserve">SECTION 10.02.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left="8" w:firstLine="549"/>
        <w:spacing w:after="0" w:line="290" w:lineRule="auto"/>
        <w:rPr>
          <w:sz w:val="20"/>
          <w:szCs w:val="20"/>
          <w:color w:val="auto"/>
        </w:rPr>
      </w:pPr>
      <w:r>
        <w:rPr>
          <w:rFonts w:ascii="Times New Roman" w:cs="Times New Roman" w:eastAsia="Times New Roman" w:hAnsi="Times New Roman"/>
          <w:sz w:val="15"/>
          <w:szCs w:val="15"/>
          <w:color w:val="auto"/>
        </w:rPr>
        <w:t>Any notice or communication by the Company, the Trustee, the Paying Agent or the Registrar to another is duly given if in writing and delivered in person or mailed by first-class mail:</w:t>
      </w:r>
    </w:p>
    <w:p>
      <w:pPr>
        <w:spacing w:after="0" w:line="13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if to the Company:</w:t>
      </w:r>
    </w:p>
    <w:p>
      <w:pPr>
        <w:spacing w:after="0" w:line="194" w:lineRule="exact"/>
        <w:rPr>
          <w:sz w:val="20"/>
          <w:szCs w:val="20"/>
          <w:color w:val="auto"/>
        </w:rPr>
      </w:pPr>
    </w:p>
    <w:p>
      <w:pPr>
        <w:ind w:left="428" w:hanging="428"/>
        <w:spacing w:after="0"/>
        <w:tabs>
          <w:tab w:leader="none" w:pos="428"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ectPr>
          <w:pgSz w:w="11900" w:h="16838" w:orient="portrait"/>
          <w:cols w:equalWidth="0" w:num="1">
            <w:col w:w="11268"/>
          </w:cols>
          <w:pgMar w:left="312" w:top="789" w:right="319" w:bottom="1440" w:gutter="0" w:footer="0" w:header="0"/>
        </w:sectPr>
      </w:pP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Attn: [</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Fax: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sectPr>
          <w:pgSz w:w="11900" w:h="16838" w:orient="portrait"/>
          <w:cols w:equalWidth="0" w:num="2">
            <w:col w:w="408" w:space="340"/>
            <w:col w:w="10520"/>
          </w:cols>
          <w:pgMar w:left="312" w:top="789" w:right="319" w:bottom="1440" w:gutter="0" w:footer="0" w:header="0"/>
          <w:type w:val="continuous"/>
        </w:sectPr>
      </w:pPr>
    </w:p>
    <w:p>
      <w:pPr>
        <w:ind w:left="548"/>
        <w:spacing w:after="0"/>
        <w:rPr>
          <w:sz w:val="20"/>
          <w:szCs w:val="20"/>
          <w:color w:val="auto"/>
        </w:rPr>
      </w:pPr>
      <w:r>
        <w:rPr>
          <w:rFonts w:ascii="Times New Roman" w:cs="Times New Roman" w:eastAsia="Times New Roman" w:hAnsi="Times New Roman"/>
          <w:sz w:val="15"/>
          <w:szCs w:val="15"/>
          <w:color w:val="auto"/>
        </w:rPr>
        <w:t>if to the Trustee:</w:t>
      </w:r>
    </w:p>
    <w:p>
      <w:pPr>
        <w:spacing w:after="0" w:line="194" w:lineRule="exact"/>
        <w:rPr>
          <w:sz w:val="20"/>
          <w:szCs w:val="20"/>
          <w:color w:val="auto"/>
        </w:rPr>
      </w:pPr>
    </w:p>
    <w:p>
      <w:pPr>
        <w:ind w:left="428" w:hanging="428"/>
        <w:spacing w:after="0"/>
        <w:tabs>
          <w:tab w:leader="none" w:pos="428"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ectPr>
          <w:pgSz w:w="11900" w:h="16838" w:orient="portrait"/>
          <w:cols w:equalWidth="0" w:num="1">
            <w:col w:w="11268"/>
          </w:cols>
          <w:pgMar w:left="312" w:top="789" w:right="319" w:bottom="1440" w:gutter="0" w:footer="0" w:header="0"/>
          <w:type w:val="continuous"/>
        </w:sectPr>
      </w:pP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Attn: [</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Fax: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sectPr>
          <w:pgSz w:w="11900" w:h="16838" w:orient="portrait"/>
          <w:cols w:equalWidth="0" w:num="2">
            <w:col w:w="408" w:space="340"/>
            <w:col w:w="10520"/>
          </w:cols>
          <w:pgMar w:left="312" w:top="789" w:right="319" w:bottom="1440" w:gutter="0" w:footer="0" w:header="0"/>
          <w:type w:val="continuous"/>
        </w:sectPr>
      </w:pPr>
    </w:p>
    <w:p>
      <w:pPr>
        <w:ind w:left="548"/>
        <w:spacing w:after="0"/>
        <w:rPr>
          <w:sz w:val="20"/>
          <w:szCs w:val="20"/>
          <w:color w:val="auto"/>
        </w:rPr>
      </w:pPr>
      <w:r>
        <w:rPr>
          <w:rFonts w:ascii="Times New Roman" w:cs="Times New Roman" w:eastAsia="Times New Roman" w:hAnsi="Times New Roman"/>
          <w:sz w:val="15"/>
          <w:szCs w:val="15"/>
          <w:color w:val="auto"/>
        </w:rPr>
        <w:t>if to the Registrar or Paying Agent:</w:t>
      </w:r>
    </w:p>
    <w:p>
      <w:pPr>
        <w:spacing w:after="0" w:line="194" w:lineRule="exact"/>
        <w:rPr>
          <w:sz w:val="20"/>
          <w:szCs w:val="20"/>
          <w:color w:val="auto"/>
        </w:rPr>
      </w:pPr>
    </w:p>
    <w:p>
      <w:pPr>
        <w:ind w:left="988" w:hanging="439"/>
        <w:spacing w:after="0"/>
        <w:tabs>
          <w:tab w:leader="none" w:pos="988"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ectPr>
          <w:pgSz w:w="11900" w:h="16838" w:orient="portrait"/>
          <w:cols w:equalWidth="0" w:num="1">
            <w:col w:w="11268"/>
          </w:cols>
          <w:pgMar w:left="312" w:top="789" w:right="319" w:bottom="1440" w:gutter="0" w:footer="0" w:header="0"/>
          <w:type w:val="continuous"/>
        </w:sectPr>
      </w:pPr>
    </w:p>
    <w:p>
      <w:pPr>
        <w:spacing w:after="0" w:line="25"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Attn: [</w:t>
      </w:r>
    </w:p>
    <w:p>
      <w:pPr>
        <w:spacing w:after="0" w:line="1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Fax: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sectPr>
          <w:pgSz w:w="11900" w:h="16838" w:orient="portrait"/>
          <w:cols w:equalWidth="0" w:num="2">
            <w:col w:w="948" w:space="340"/>
            <w:col w:w="9980"/>
          </w:cols>
          <w:pgMar w:left="312" w:top="789" w:right="319" w:bottom="1440" w:gutter="0" w:footer="0" w:header="0"/>
          <w:type w:val="continuous"/>
        </w:sectPr>
      </w:pPr>
    </w:p>
    <w:p>
      <w:pPr>
        <w:ind w:left="548"/>
        <w:spacing w:after="0"/>
        <w:rPr>
          <w:sz w:val="20"/>
          <w:szCs w:val="20"/>
          <w:color w:val="auto"/>
        </w:rPr>
      </w:pPr>
      <w:r>
        <w:rPr>
          <w:rFonts w:ascii="Times New Roman" w:cs="Times New Roman" w:eastAsia="Times New Roman" w:hAnsi="Times New Roman"/>
          <w:sz w:val="15"/>
          <w:szCs w:val="15"/>
          <w:color w:val="auto"/>
        </w:rPr>
        <w:t>with copy to:</w:t>
      </w:r>
    </w:p>
    <w:p>
      <w:pPr>
        <w:spacing w:after="0" w:line="194" w:lineRule="exact"/>
        <w:rPr>
          <w:sz w:val="20"/>
          <w:szCs w:val="20"/>
          <w:color w:val="auto"/>
        </w:rPr>
      </w:pPr>
    </w:p>
    <w:p>
      <w:pPr>
        <w:ind w:left="988" w:hanging="439"/>
        <w:spacing w:after="0"/>
        <w:tabs>
          <w:tab w:leader="none" w:pos="988"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ectPr>
          <w:pgSz w:w="11900" w:h="16838" w:orient="portrait"/>
          <w:cols w:equalWidth="0" w:num="1">
            <w:col w:w="11268"/>
          </w:cols>
          <w:pgMar w:left="312" w:top="789" w:right="319" w:bottom="1440" w:gutter="0" w:footer="0" w:header="0"/>
          <w:type w:val="continuous"/>
        </w:sectPr>
      </w:pPr>
    </w:p>
    <w:p>
      <w:pPr>
        <w:spacing w:after="0" w:line="25"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Attn: [</w:t>
      </w:r>
    </w:p>
    <w:p>
      <w:pPr>
        <w:spacing w:after="0" w:line="1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Fax: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79" w:lineRule="exact"/>
        <w:rPr>
          <w:sz w:val="20"/>
          <w:szCs w:val="20"/>
          <w:color w:val="auto"/>
        </w:rPr>
      </w:pPr>
    </w:p>
    <w:p>
      <w:pPr>
        <w:sectPr>
          <w:pgSz w:w="11900" w:h="16838" w:orient="portrait"/>
          <w:cols w:equalWidth="0" w:num="2">
            <w:col w:w="948" w:space="340"/>
            <w:col w:w="9980"/>
          </w:cols>
          <w:pgMar w:left="312" w:top="789" w:right="319" w:bottom="1440" w:gutter="0" w:footer="0" w:header="0"/>
          <w:type w:val="continuous"/>
        </w:sectPr>
      </w:pPr>
    </w:p>
    <w:p>
      <w:pPr>
        <w:ind w:left="548"/>
        <w:spacing w:after="0"/>
        <w:rPr>
          <w:sz w:val="20"/>
          <w:szCs w:val="20"/>
          <w:color w:val="auto"/>
        </w:rPr>
      </w:pPr>
      <w:r>
        <w:rPr>
          <w:rFonts w:ascii="Times New Roman" w:cs="Times New Roman" w:eastAsia="Times New Roman" w:hAnsi="Times New Roman"/>
          <w:sz w:val="15"/>
          <w:szCs w:val="15"/>
          <w:color w:val="auto"/>
        </w:rPr>
        <w:t>The Company, the Trustee and each Agent by notice to each other may designate additional or different addresses for subsequent notices or communications.</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type w:val="continuous"/>
        </w:sectPr>
      </w:pPr>
    </w:p>
    <w:bookmarkStart w:id="155" w:name="page156"/>
    <w:bookmarkEnd w:id="155"/>
    <w:p>
      <w:pPr>
        <w:ind w:firstLine="549"/>
        <w:spacing w:after="0" w:line="290" w:lineRule="auto"/>
        <w:rPr>
          <w:sz w:val="20"/>
          <w:szCs w:val="20"/>
          <w:color w:val="auto"/>
        </w:rPr>
      </w:pPr>
      <w:r>
        <w:rPr>
          <w:rFonts w:ascii="Times New Roman" w:cs="Times New Roman" w:eastAsia="Times New Roman" w:hAnsi="Times New Roman"/>
          <w:sz w:val="15"/>
          <w:szCs w:val="15"/>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a notice or communication is mailed or published in the manner provided above, within the time prescribed, it is duly given, whether or not the Securityholder receives it.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the company mails a notice or communication to Securityholders, it will mail a copy to the Trustee and each Agent at the same time.</w:t>
      </w:r>
    </w:p>
    <w:p>
      <w:pPr>
        <w:spacing w:after="0" w:line="194"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Whenever a notice is required to be given by the Company, such notice may be given by the Trustee or Registrar on the Company’s behalf (and the Company will make any notice it is required to give to Holders available on its website).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10.03. </w:t>
      </w:r>
      <w:r>
        <w:rPr>
          <w:rFonts w:ascii="Times New Roman" w:cs="Times New Roman" w:eastAsia="Times New Roman" w:hAnsi="Times New Roman"/>
          <w:sz w:val="15"/>
          <w:szCs w:val="15"/>
          <w:u w:val="single" w:color="auto"/>
          <w:color w:val="auto"/>
        </w:rPr>
        <w:t>Communication by Holders with Other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Securityholders of any Series may communicate pursuant to TIA Section 312(b) with other Securityholders of that Series or any other Series with respect to their rights under this Indenture or the Securities of that Series or all Series. The Company, the Trustee, the Registrar and anyone else shall have the protection of TIA Section 312(c).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10.04. </w:t>
      </w:r>
      <w:r>
        <w:rPr>
          <w:rFonts w:ascii="Times New Roman" w:cs="Times New Roman" w:eastAsia="Times New Roman" w:hAnsi="Times New Roman"/>
          <w:sz w:val="15"/>
          <w:szCs w:val="15"/>
          <w:u w:val="single" w:color="auto"/>
          <w:color w:val="auto"/>
        </w:rPr>
        <w:t>Certificate and Opinion as to Conditions Precedent</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Upon any request or application by the Company to the Trustee to take any action under this Indenture, the Company shall furnish to the Trustee:</w:t>
      </w:r>
    </w:p>
    <w:p>
      <w:pPr>
        <w:spacing w:after="0" w:line="194" w:lineRule="exact"/>
        <w:rPr>
          <w:sz w:val="20"/>
          <w:szCs w:val="20"/>
          <w:color w:val="auto"/>
        </w:rPr>
      </w:pPr>
    </w:p>
    <w:p>
      <w:pPr>
        <w:ind w:right="20" w:firstLine="541"/>
        <w:spacing w:after="0" w:line="290" w:lineRule="auto"/>
        <w:tabs>
          <w:tab w:leader="none" w:pos="765"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Officers’ Certificate stating that, in the opinion of the signers, all conditions precedent, if any, provided for in this Indenture relating to the proposed action have been complied with; and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85"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Opinion of Counsel stating that, in the opinion of counsel, all such conditions precedent (including any covenants, compliance with which constitutes a condition precedent) have been complied with.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10.05. </w:t>
      </w:r>
      <w:r>
        <w:rPr>
          <w:rFonts w:ascii="Times New Roman" w:cs="Times New Roman" w:eastAsia="Times New Roman" w:hAnsi="Times New Roman"/>
          <w:sz w:val="15"/>
          <w:szCs w:val="15"/>
          <w:u w:val="single" w:color="auto"/>
          <w:color w:val="auto"/>
        </w:rPr>
        <w:t>Statements Required in Certificate or Opinion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Each certificate or opinion with respect to compliance with a condition or covenant provided for in this Indenture (other than a certificate provided pursuant to TIA Section 314(a)(4)) shall comply with the provisions of TIA Section 314(e) and shall include:</w:t>
      </w:r>
    </w:p>
    <w:p>
      <w:pPr>
        <w:spacing w:after="0" w:line="133" w:lineRule="exact"/>
        <w:rPr>
          <w:sz w:val="20"/>
          <w:szCs w:val="20"/>
          <w:color w:val="auto"/>
        </w:rPr>
      </w:pPr>
    </w:p>
    <w:p>
      <w:pPr>
        <w:ind w:left="740" w:hanging="199"/>
        <w:spacing w:after="0"/>
        <w:tabs>
          <w:tab w:leader="none" w:pos="74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the person making such certificate or opinion has read such covenant or condition;</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statement as to the nature and scope of the examination or investigation upon which the statements or opinions contained in such certificate or opinion are based;</w:t>
      </w:r>
    </w:p>
    <w:p>
      <w:pPr>
        <w:spacing w:after="0" w:line="193" w:lineRule="exact"/>
        <w:rPr>
          <w:rFonts w:ascii="Times New Roman" w:cs="Times New Roman" w:eastAsia="Times New Roman" w:hAnsi="Times New Roman"/>
          <w:sz w:val="15"/>
          <w:szCs w:val="15"/>
          <w:color w:val="auto"/>
        </w:rPr>
      </w:pPr>
    </w:p>
    <w:p>
      <w:pPr>
        <w:ind w:right="20" w:firstLine="541"/>
        <w:spacing w:after="0" w:line="290" w:lineRule="auto"/>
        <w:tabs>
          <w:tab w:leader="none" w:pos="757"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as to whether or not, in the opinion of such person, such condition or covenant has been complied with.</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with respect to matters of fact an Opinion of Counsel may rely on an Officers’ Certificate or certificates of public officials.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10.06. </w:t>
      </w:r>
      <w:r>
        <w:rPr>
          <w:rFonts w:ascii="Times New Roman" w:cs="Times New Roman" w:eastAsia="Times New Roman" w:hAnsi="Times New Roman"/>
          <w:sz w:val="15"/>
          <w:szCs w:val="15"/>
          <w:u w:val="single" w:color="auto"/>
          <w:color w:val="auto"/>
        </w:rPr>
        <w:t>Record Date for Vote or Consent of Holders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The Company (or, in the event deposits have been made pursuant to Section 11.02, the Trustee) may set a record date for purposes of determining the identity of Holders entitled to vote or consent to any action by vote or consent authorized or permitted under this Indenture, which record date shall not be more than [ ] days prior to the date of the commencement of solicitation of such action. Notwithstanding the provisions of Section 9.05, if a record date is fixed, those persons who were Holders of Securities at the close of business on such record date (or their duly designated proxies), and only those persons, shall be entitled to take such action by vote or consent or to revoke any vote or consent previously given, whether or not such persons continue to be Holders after such record date.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color w:val="auto"/>
        </w:rPr>
        <w:t xml:space="preserve">SECTION 10.07. </w:t>
      </w:r>
      <w:r>
        <w:rPr>
          <w:rFonts w:ascii="Times New Roman" w:cs="Times New Roman" w:eastAsia="Times New Roman" w:hAnsi="Times New Roman"/>
          <w:sz w:val="15"/>
          <w:szCs w:val="15"/>
          <w:u w:val="single" w:color="auto"/>
          <w:color w:val="auto"/>
        </w:rPr>
        <w:t>Rules by Trustee and Agents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Trustee may make reasonable rules for action by or a meeting of Securityholders of one or more Series. Any Agent may make reasonable rules and set reasonable requirements for its functions.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10.08. </w:t>
      </w:r>
      <w:r>
        <w:rPr>
          <w:rFonts w:ascii="Times New Roman" w:cs="Times New Roman" w:eastAsia="Times New Roman" w:hAnsi="Times New Roman"/>
          <w:sz w:val="15"/>
          <w:szCs w:val="15"/>
          <w:u w:val="single" w:color="auto"/>
          <w:color w:val="auto"/>
        </w:rPr>
        <w:t>Legal Holidays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Unless otherwise provided by Board Resolution, Officers’ Certificate or supplemental indenture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10.09. </w:t>
      </w:r>
      <w:r>
        <w:rPr>
          <w:rFonts w:ascii="Times New Roman" w:cs="Times New Roman" w:eastAsia="Times New Roman" w:hAnsi="Times New Roman"/>
          <w:sz w:val="15"/>
          <w:szCs w:val="15"/>
          <w:u w:val="single" w:color="auto"/>
          <w:color w:val="auto"/>
        </w:rPr>
        <w:t>No Recourse Against Others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10.10.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10.11. </w:t>
      </w:r>
      <w:r>
        <w:rPr>
          <w:rFonts w:ascii="Times New Roman" w:cs="Times New Roman" w:eastAsia="Times New Roman" w:hAnsi="Times New Roman"/>
          <w:sz w:val="15"/>
          <w:szCs w:val="15"/>
          <w:u w:val="single" w:color="auto"/>
          <w:color w:val="auto"/>
        </w:rPr>
        <w:t>Governing Laws and Submission to Jurisdiction</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THIS INDENTURE AND THE SECURITIES SHALL BE GOVERNED BY THE LAWS OF THE STATE OF NEW YORK EXCLUDING ANY RULE OF LAW THAT WOULD CAUSE THE APPLICATION OF THE LAWS OF ANY JURISDICTION OTHER THAN THE STATE OF NEW YORK.</w:t>
      </w:r>
    </w:p>
    <w:p>
      <w:pPr>
        <w:spacing w:after="0" w:line="133"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The Company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non-exclusive jurisdiction of such court in any suit, action or proceeding. The Company, as long as any Securities remain outstanding or the parties hereto have any obligation under this Indenture, shall have an authorized agent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Company hereby appoints Seward &amp; Kissel LLP, One Battery Park Plaza, New York, NY, 10004, as its agent for such purposes, and covenants and agrees that service of process in any legal action or proceeding may be made upon it at such office of such agent.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10.12. </w:t>
      </w:r>
      <w:r>
        <w:rPr>
          <w:rFonts w:ascii="Times New Roman" w:cs="Times New Roman" w:eastAsia="Times New Roman" w:hAnsi="Times New Roman"/>
          <w:sz w:val="15"/>
          <w:szCs w:val="15"/>
          <w:u w:val="single" w:color="auto"/>
          <w:color w:val="auto"/>
        </w:rPr>
        <w:t>No Adverse Interpretation of Other Agreements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This Indenture may not be used to interpret another indenture, loan or debt agreement of the Company or a Subsidiary. Any such indenture, loan or debt agreement may not be used to interpret this Indenture.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10.13.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agreements of the Company in this Indenture and the Securities shall bind its successor. All agreements of the Trustee in this Indenture shall bind its successor.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5"/>
          <w:szCs w:val="15"/>
          <w:color w:val="auto"/>
        </w:rPr>
        <w:t xml:space="preserve">SECTION 10.14.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10.15. </w:t>
      </w:r>
      <w:r>
        <w:rPr>
          <w:rFonts w:ascii="Times New Roman" w:cs="Times New Roman" w:eastAsia="Times New Roman" w:hAnsi="Times New Roman"/>
          <w:sz w:val="15"/>
          <w:szCs w:val="15"/>
          <w:u w:val="single" w:color="auto"/>
          <w:color w:val="auto"/>
        </w:rPr>
        <w:t>Table of Contents, Headings, Etc</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right="20" w:firstLine="549"/>
        <w:spacing w:after="0" w:line="290" w:lineRule="auto"/>
        <w:rPr>
          <w:sz w:val="20"/>
          <w:szCs w:val="20"/>
          <w:color w:val="auto"/>
        </w:rPr>
      </w:pPr>
      <w:r>
        <w:rPr>
          <w:rFonts w:ascii="Times New Roman" w:cs="Times New Roman" w:eastAsia="Times New Roman" w:hAnsi="Times New Roman"/>
          <w:sz w:val="15"/>
          <w:szCs w:val="15"/>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10.16. </w:t>
      </w:r>
      <w:r>
        <w:rPr>
          <w:rFonts w:ascii="Times New Roman" w:cs="Times New Roman" w:eastAsia="Times New Roman" w:hAnsi="Times New Roman"/>
          <w:sz w:val="15"/>
          <w:szCs w:val="15"/>
          <w:u w:val="single" w:color="auto"/>
          <w:color w:val="auto"/>
        </w:rPr>
        <w:t>Securities in a Foreign Currency or in ECU</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t>Unless otherwise specified in a Board Resolution, a supplemental indenture hereto or an Officers’ 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at such time. For purposes of this Section 10.16, “Market Exchange Rate” shall mean the noon Dollar buying rate in New York City for cable transfers of that currency as published by the Federal Reserve Bank of New York; provided, however, in the case of ECUs, Market Exchange Rate shall mean the rate of exchange determined by the Commission of the European Union (or any successor thereto) as published in the Official Journal of the European Union (such publication or any successor publication, the “Journal”). If such Market Exchange Rate is not available for any reason with respect to such currency, the Trustee shall use,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or, in the case of ECUs, in Luxembourg or such other quotations or, in the case of ECUs, rates of exchange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63"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Company and all 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10.17. </w:t>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5"/>
          <w:szCs w:val="15"/>
          <w:color w:val="auto"/>
        </w:rPr>
        <w:t xml:space="preserve">SECTION 10.18. </w:t>
      </w:r>
      <w:r>
        <w:rPr>
          <w:rFonts w:ascii="Times New Roman" w:cs="Times New Roman" w:eastAsia="Times New Roman" w:hAnsi="Times New Roman"/>
          <w:sz w:val="15"/>
          <w:szCs w:val="15"/>
          <w:u w:val="single" w:color="auto"/>
          <w:color w:val="auto"/>
        </w:rPr>
        <w:t>Compliance with Applicable Anti-Terrorism and Money Laundering Regulations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In order to comply with the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 to provide to the Trustee, upon its request from time to time such identifying information and documentation as may be available for such party in order to enable the Trustee to comply with the Applicable Law.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XI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SINKING FUNDS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11.01. </w:t>
      </w:r>
      <w:r>
        <w:rPr>
          <w:rFonts w:ascii="Times New Roman" w:cs="Times New Roman" w:eastAsia="Times New Roman" w:hAnsi="Times New Roman"/>
          <w:sz w:val="15"/>
          <w:szCs w:val="15"/>
          <w:u w:val="single" w:color="auto"/>
          <w:color w:val="auto"/>
        </w:rPr>
        <w:t>Applicability of Article</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33"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5"/>
          <w:szCs w:val="15"/>
          <w:u w:val="single" w:color="auto"/>
          <w:color w:val="auto"/>
        </w:rPr>
        <w:t>Satisfaction of Sinking Fund Payments with Securities</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7" w:lineRule="auto"/>
        <w:rPr>
          <w:sz w:val="20"/>
          <w:szCs w:val="20"/>
          <w:color w:val="auto"/>
        </w:rPr>
      </w:pPr>
      <w:r>
        <w:rPr>
          <w:rFonts w:ascii="Times New Roman" w:cs="Times New Roman" w:eastAsia="Times New Roman" w:hAnsi="Times New Roman"/>
          <w:sz w:val="15"/>
          <w:szCs w:val="15"/>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Registrar, together with an Officers’ Certificate with respect thereto, not later than [ ] days prior to the date on which the Registrar begins the process of selecting Securities for redemption, and shall be credited for such purpose by the Registrar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Securities of such Series to be redeemed in order to exhaust the aforesaid cash payment shall be less than $[ ], the Registrar need not call Securities of such Series for redemption, except upon receipt of a Company Order that such action be taken, and such cash payment shall be held by the Paying Agent and applied to the next succeeding sinking fund payment, provided, however, that the Paying Agent shall from time to time upon receipt of a Company Order pay over and deliver to the Company any cash payment so being held by the Paying Agent upon delivery by the Company to the Registrar of Securities of that Series purchased by the Company having an unpaid principal amount equal to the cash payment required to be released to the Company.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11.03. </w:t>
      </w:r>
      <w:r>
        <w:rPr>
          <w:rFonts w:ascii="Times New Roman" w:cs="Times New Roman" w:eastAsia="Times New Roman" w:hAnsi="Times New Roman"/>
          <w:sz w:val="15"/>
          <w:szCs w:val="15"/>
          <w:u w:val="single" w:color="auto"/>
          <w:color w:val="auto"/>
        </w:rPr>
        <w:t>Redemption of Securities for Sinking Fund</w:t>
      </w:r>
      <w:r>
        <w:rPr>
          <w:rFonts w:ascii="Times New Roman" w:cs="Times New Roman" w:eastAsia="Times New Roman" w:hAnsi="Times New Roman"/>
          <w:sz w:val="15"/>
          <w:szCs w:val="15"/>
          <w:color w:val="auto"/>
        </w:rPr>
        <w:t>.</w:t>
      </w:r>
    </w:p>
    <w:p>
      <w:pPr>
        <w:spacing w:after="0" w:line="194"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Not less than [ ] days (unless otherwise indicated in the Board Resolution, supplemental indenture hereto or Officers’ Certificate in respect of a particular Series of Securities) prior to each sinking fund payment date for any Series of Securities, the Company will deliver to the Trustee and the Paying Agent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 ]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stated in Sections 3.04, 3.05 and 3.06.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remainder of this page is intentionally left blank</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9" w:name="page160"/>
    <w:bookmarkEnd w:id="159"/>
    <w:p>
      <w:pPr>
        <w:ind w:left="548"/>
        <w:spacing w:after="0"/>
        <w:rPr>
          <w:sz w:val="20"/>
          <w:szCs w:val="20"/>
          <w:color w:val="auto"/>
        </w:rPr>
      </w:pPr>
      <w:r>
        <w:rPr>
          <w:rFonts w:ascii="Times New Roman" w:cs="Times New Roman" w:eastAsia="Times New Roman" w:hAnsi="Times New Roman"/>
          <w:sz w:val="15"/>
          <w:szCs w:val="15"/>
          <w:color w:val="auto"/>
        </w:rPr>
        <w:t>IN WITNESS WHEREOF, the parties hereto have caused this Indenture to be duly executed as of the day and year first above written.</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GD CULTURE GROUP LIMITED</w:t>
      </w:r>
    </w:p>
    <w:p>
      <w:pPr>
        <w:spacing w:after="0" w:line="2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1270</wp:posOffset>
            </wp:positionV>
            <wp:extent cx="250063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79" w:lineRule="exact"/>
        <w:rPr>
          <w:sz w:val="20"/>
          <w:szCs w:val="20"/>
          <w:color w:val="auto"/>
        </w:rPr>
      </w:pPr>
    </w:p>
    <w:p>
      <w:pPr>
        <w:ind w:left="1148" w:hanging="1148"/>
        <w:spacing w:after="0"/>
        <w:tabs>
          <w:tab w:leader="none" w:pos="1148"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Trustee</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1270</wp:posOffset>
            </wp:positionV>
            <wp:extent cx="250063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2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1270</wp:posOffset>
            </wp:positionV>
            <wp:extent cx="250063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190" w:lineRule="exact"/>
        <w:rPr>
          <w:sz w:val="20"/>
          <w:szCs w:val="20"/>
          <w:color w:val="auto"/>
        </w:rPr>
      </w:pPr>
    </w:p>
    <w:p>
      <w:pPr>
        <w:ind w:left="1268" w:hanging="1268"/>
        <w:spacing w:after="0"/>
        <w:tabs>
          <w:tab w:leader="none" w:pos="1268"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as Registrar and Paying Agent</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1270</wp:posOffset>
            </wp:positionV>
            <wp:extent cx="250063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1270</wp:posOffset>
            </wp:positionV>
            <wp:extent cx="2500630"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2500630" cy="1460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Name:</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Its:</w:t>
      </w:r>
    </w:p>
    <w:p>
      <w:pPr>
        <w:spacing w:after="0" w:line="374" w:lineRule="exact"/>
        <w:rPr>
          <w:sz w:val="20"/>
          <w:szCs w:val="20"/>
          <w:color w:val="auto"/>
        </w:rPr>
      </w:pPr>
    </w:p>
    <w:p>
      <w:pPr>
        <w:ind w:left="5548"/>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48"/>
          </w:cols>
          <w:pgMar w:left="312" w:top="789" w:right="1440" w:bottom="1440" w:gutter="0" w:footer="0" w:header="0"/>
        </w:sectPr>
      </w:pPr>
    </w:p>
    <w:bookmarkStart w:id="160" w:name="page161"/>
    <w:bookmarkEnd w:id="160"/>
    <w:p>
      <w:pPr>
        <w:spacing w:after="0" w:line="366" w:lineRule="exact"/>
        <w:rPr>
          <w:sz w:val="20"/>
          <w:szCs w:val="20"/>
          <w:color w:val="auto"/>
        </w:rPr>
      </w:pPr>
    </w:p>
    <w:tbl>
      <w:tblPr>
        <w:tblLayout w:type="fixed"/>
        <w:tblInd w:w="840" w:type="dxa"/>
        <w:tblCellMar>
          <w:top w:w="0" w:type="dxa"/>
          <w:left w:w="0" w:type="dxa"/>
          <w:bottom w:w="0" w:type="dxa"/>
          <w:right w:w="0" w:type="dxa"/>
        </w:tblCellMar>
      </w:tblPr>
      <w:tr>
        <w:trPr>
          <w:trHeight w:val="183"/>
        </w:trPr>
        <w:tc>
          <w:tcPr>
            <w:tcW w:w="2900" w:type="dxa"/>
            <w:vAlign w:val="bottom"/>
          </w:tcPr>
          <w:p>
            <w:pPr>
              <w:spacing w:after="0"/>
              <w:rPr>
                <w:sz w:val="15"/>
                <w:szCs w:val="15"/>
                <w:color w:val="auto"/>
              </w:rPr>
            </w:pPr>
          </w:p>
        </w:tc>
        <w:tc>
          <w:tcPr>
            <w:tcW w:w="2760" w:type="dxa"/>
            <w:vAlign w:val="bottom"/>
          </w:tcPr>
          <w:p>
            <w:pPr>
              <w:jc w:val="center"/>
              <w:ind w:left="924"/>
              <w:spacing w:after="0"/>
              <w:rPr>
                <w:sz w:val="20"/>
                <w:szCs w:val="20"/>
                <w:color w:val="auto"/>
              </w:rPr>
            </w:pPr>
            <w:r>
              <w:rPr>
                <w:rFonts w:ascii="Times New Roman" w:cs="Times New Roman" w:eastAsia="Times New Roman" w:hAnsi="Times New Roman"/>
                <w:sz w:val="15"/>
                <w:szCs w:val="15"/>
                <w:b w:val="1"/>
                <w:bCs w:val="1"/>
                <w:color w:val="auto"/>
              </w:rPr>
              <w:t>M</w:t>
            </w:r>
            <w:r>
              <w:rPr>
                <w:rFonts w:ascii="Times New Roman" w:cs="Times New Roman" w:eastAsia="Times New Roman" w:hAnsi="Times New Roman"/>
                <w:sz w:val="10"/>
                <w:szCs w:val="10"/>
                <w:b w:val="1"/>
                <w:bCs w:val="1"/>
                <w:color w:val="auto"/>
              </w:rPr>
              <w:t>c</w:t>
            </w:r>
            <w:r>
              <w:rPr>
                <w:rFonts w:ascii="Times New Roman" w:cs="Times New Roman" w:eastAsia="Times New Roman" w:hAnsi="Times New Roman"/>
                <w:sz w:val="15"/>
                <w:szCs w:val="15"/>
                <w:b w:val="1"/>
                <w:bCs w:val="1"/>
                <w:color w:val="auto"/>
              </w:rPr>
              <w:t>L</w:t>
            </w:r>
            <w:r>
              <w:rPr>
                <w:rFonts w:ascii="Times New Roman" w:cs="Times New Roman" w:eastAsia="Times New Roman" w:hAnsi="Times New Roman"/>
                <w:sz w:val="10"/>
                <w:szCs w:val="10"/>
                <w:b w:val="1"/>
                <w:bCs w:val="1"/>
                <w:color w:val="auto"/>
              </w:rPr>
              <w:t>aughlin</w:t>
            </w:r>
            <w:r>
              <w:rPr>
                <w:rFonts w:ascii="Times New Roman" w:cs="Times New Roman" w:eastAsia="Times New Roman" w:hAnsi="Times New Roman"/>
                <w:sz w:val="15"/>
                <w:szCs w:val="15"/>
                <w:b w:val="1"/>
                <w:bCs w:val="1"/>
                <w:color w:val="auto"/>
              </w:rPr>
              <w:t xml:space="preserve"> &amp; S</w:t>
            </w:r>
            <w:r>
              <w:rPr>
                <w:rFonts w:ascii="Times New Roman" w:cs="Times New Roman" w:eastAsia="Times New Roman" w:hAnsi="Times New Roman"/>
                <w:sz w:val="10"/>
                <w:szCs w:val="10"/>
                <w:b w:val="1"/>
                <w:bCs w:val="1"/>
                <w:color w:val="auto"/>
              </w:rPr>
              <w:t>tern</w:t>
            </w:r>
            <w:r>
              <w:rPr>
                <w:rFonts w:ascii="Times New Roman" w:cs="Times New Roman" w:eastAsia="Times New Roman" w:hAnsi="Times New Roman"/>
                <w:sz w:val="15"/>
                <w:szCs w:val="15"/>
                <w:b w:val="1"/>
                <w:bCs w:val="1"/>
                <w:color w:val="auto"/>
              </w:rPr>
              <w:t>, LLP</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2760" w:type="dxa"/>
            <w:vAlign w:val="bottom"/>
          </w:tcPr>
          <w:p>
            <w:pPr>
              <w:jc w:val="center"/>
              <w:ind w:left="924"/>
              <w:spacing w:after="0"/>
              <w:rPr>
                <w:sz w:val="20"/>
                <w:szCs w:val="20"/>
                <w:color w:val="auto"/>
              </w:rPr>
            </w:pP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0"/>
                <w:szCs w:val="10"/>
                <w:b w:val="1"/>
                <w:bCs w:val="1"/>
                <w:color w:val="auto"/>
              </w:rPr>
              <w:t>ounded</w:t>
            </w:r>
            <w:r>
              <w:rPr>
                <w:rFonts w:ascii="Times New Roman" w:cs="Times New Roman" w:eastAsia="Times New Roman" w:hAnsi="Times New Roman"/>
                <w:sz w:val="15"/>
                <w:szCs w:val="15"/>
                <w:b w:val="1"/>
                <w:bCs w:val="1"/>
                <w:color w:val="auto"/>
              </w:rPr>
              <w:t xml:space="preserve"> 1898</w:t>
            </w:r>
          </w:p>
        </w:tc>
        <w:tc>
          <w:tcPr>
            <w:tcW w:w="0" w:type="dxa"/>
            <w:vAlign w:val="bottom"/>
          </w:tcPr>
          <w:p>
            <w:pPr>
              <w:spacing w:after="0"/>
              <w:rPr>
                <w:sz w:val="1"/>
                <w:szCs w:val="1"/>
                <w:color w:val="auto"/>
              </w:rPr>
            </w:pPr>
          </w:p>
        </w:tc>
      </w:tr>
      <w:tr>
        <w:trPr>
          <w:trHeight w:val="352"/>
        </w:trPr>
        <w:tc>
          <w:tcPr>
            <w:tcW w:w="2900" w:type="dxa"/>
            <w:vAlign w:val="bottom"/>
          </w:tcPr>
          <w:p>
            <w:pPr>
              <w:jc w:val="center"/>
              <w:ind w:right="824"/>
              <w:spacing w:after="0"/>
              <w:rPr>
                <w:sz w:val="20"/>
                <w:szCs w:val="20"/>
                <w:color w:val="auto"/>
              </w:rPr>
            </w:pPr>
            <w:r>
              <w:rPr>
                <w:rFonts w:ascii="Times New Roman" w:cs="Times New Roman" w:eastAsia="Times New Roman" w:hAnsi="Times New Roman"/>
                <w:sz w:val="15"/>
                <w:szCs w:val="15"/>
                <w:b w:val="1"/>
                <w:bCs w:val="1"/>
                <w:color w:val="auto"/>
              </w:rPr>
              <w:t>STEVEN W. SCHUSTER</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00" w:type="dxa"/>
            <w:vAlign w:val="bottom"/>
          </w:tcPr>
          <w:p>
            <w:pPr>
              <w:jc w:val="center"/>
              <w:ind w:right="824"/>
              <w:spacing w:after="0"/>
              <w:rPr>
                <w:sz w:val="20"/>
                <w:szCs w:val="20"/>
                <w:color w:val="auto"/>
              </w:rPr>
            </w:pPr>
            <w:r>
              <w:rPr>
                <w:rFonts w:ascii="Times New Roman" w:cs="Times New Roman" w:eastAsia="Times New Roman" w:hAnsi="Times New Roman"/>
                <w:sz w:val="15"/>
                <w:szCs w:val="15"/>
                <w:color w:val="auto"/>
              </w:rPr>
              <w:t>Partner</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tcPr>
          <w:p>
            <w:pPr>
              <w:jc w:val="center"/>
              <w:ind w:right="844"/>
              <w:spacing w:after="0"/>
              <w:rPr>
                <w:sz w:val="20"/>
                <w:szCs w:val="20"/>
                <w:color w:val="auto"/>
              </w:rPr>
            </w:pPr>
            <w:r>
              <w:rPr>
                <w:rFonts w:ascii="Times New Roman" w:cs="Times New Roman" w:eastAsia="Times New Roman" w:hAnsi="Times New Roman"/>
                <w:sz w:val="15"/>
                <w:szCs w:val="15"/>
                <w:color w:val="auto"/>
              </w:rPr>
              <w:t>sschsuter@mclaughlinstern.com</w:t>
            </w:r>
          </w:p>
        </w:tc>
        <w:tc>
          <w:tcPr>
            <w:tcW w:w="276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auto"/>
              </w:rPr>
              <w:t>260 M</w:t>
            </w:r>
            <w:r>
              <w:rPr>
                <w:rFonts w:ascii="Times New Roman" w:cs="Times New Roman" w:eastAsia="Times New Roman" w:hAnsi="Times New Roman"/>
                <w:sz w:val="10"/>
                <w:szCs w:val="10"/>
                <w:color w:val="auto"/>
              </w:rPr>
              <w:t>adison</w:t>
            </w:r>
            <w:r>
              <w:rPr>
                <w:rFonts w:ascii="Times New Roman" w:cs="Times New Roman" w:eastAsia="Times New Roman" w:hAnsi="Times New Roman"/>
                <w:sz w:val="15"/>
                <w:szCs w:val="15"/>
                <w:color w:val="auto"/>
              </w:rPr>
              <w:t xml:space="preserve"> A</w:t>
            </w:r>
            <w:r>
              <w:rPr>
                <w:rFonts w:ascii="Times New Roman" w:cs="Times New Roman" w:eastAsia="Times New Roman" w:hAnsi="Times New Roman"/>
                <w:sz w:val="10"/>
                <w:szCs w:val="10"/>
                <w:color w:val="auto"/>
              </w:rPr>
              <w:t>venue</w:t>
            </w:r>
          </w:p>
        </w:tc>
        <w:tc>
          <w:tcPr>
            <w:tcW w:w="0" w:type="dxa"/>
            <w:vAlign w:val="bottom"/>
          </w:tcPr>
          <w:p>
            <w:pPr>
              <w:spacing w:after="0"/>
              <w:rPr>
                <w:sz w:val="1"/>
                <w:szCs w:val="1"/>
                <w:color w:val="auto"/>
              </w:rPr>
            </w:pPr>
          </w:p>
        </w:tc>
      </w:tr>
      <w:tr>
        <w:trPr>
          <w:trHeight w:val="183"/>
        </w:trPr>
        <w:tc>
          <w:tcPr>
            <w:tcW w:w="2900" w:type="dxa"/>
            <w:vAlign w:val="bottom"/>
          </w:tcPr>
          <w:p>
            <w:pPr>
              <w:jc w:val="center"/>
              <w:ind w:right="804"/>
              <w:spacing w:after="0"/>
              <w:rPr>
                <w:sz w:val="20"/>
                <w:szCs w:val="20"/>
                <w:color w:val="auto"/>
              </w:rPr>
            </w:pPr>
            <w:r>
              <w:rPr>
                <w:rFonts w:ascii="Times New Roman" w:cs="Times New Roman" w:eastAsia="Times New Roman" w:hAnsi="Times New Roman"/>
                <w:sz w:val="15"/>
                <w:szCs w:val="15"/>
                <w:color w:val="auto"/>
              </w:rPr>
              <w:t>(212) 448-6216</w:t>
            </w:r>
          </w:p>
        </w:tc>
        <w:tc>
          <w:tcPr>
            <w:tcW w:w="276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auto"/>
              </w:rPr>
              <w:t>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r>
              <w:rPr>
                <w:rFonts w:ascii="Times New Roman" w:cs="Times New Roman" w:eastAsia="Times New Roman" w:hAnsi="Times New Roman"/>
                <w:sz w:val="15"/>
                <w:szCs w:val="15"/>
                <w:color w:val="auto"/>
              </w:rPr>
              <w:t>, 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r>
              <w:rPr>
                <w:rFonts w:ascii="Times New Roman" w:cs="Times New Roman" w:eastAsia="Times New Roman" w:hAnsi="Times New Roman"/>
                <w:sz w:val="15"/>
                <w:szCs w:val="15"/>
                <w:color w:val="auto"/>
              </w:rPr>
              <w:t xml:space="preserve"> 10016</w:t>
            </w:r>
          </w:p>
        </w:tc>
        <w:tc>
          <w:tcPr>
            <w:tcW w:w="0" w:type="dxa"/>
            <w:vAlign w:val="bottom"/>
          </w:tcPr>
          <w:p>
            <w:pPr>
              <w:spacing w:after="0"/>
              <w:rPr>
                <w:sz w:val="1"/>
                <w:szCs w:val="1"/>
                <w:color w:val="auto"/>
              </w:rPr>
            </w:pPr>
          </w:p>
        </w:tc>
      </w:tr>
      <w:tr>
        <w:trPr>
          <w:trHeight w:val="183"/>
        </w:trPr>
        <w:tc>
          <w:tcPr>
            <w:tcW w:w="2900" w:type="dxa"/>
            <w:vAlign w:val="bottom"/>
            <w:vMerge w:val="restart"/>
          </w:tcPr>
          <w:p>
            <w:pPr>
              <w:jc w:val="center"/>
              <w:ind w:right="844"/>
              <w:spacing w:after="0"/>
              <w:rPr>
                <w:sz w:val="20"/>
                <w:szCs w:val="20"/>
                <w:color w:val="auto"/>
              </w:rPr>
            </w:pPr>
            <w:r>
              <w:rPr>
                <w:rFonts w:ascii="Times New Roman" w:cs="Times New Roman" w:eastAsia="Times New Roman" w:hAnsi="Times New Roman"/>
                <w:sz w:val="15"/>
                <w:szCs w:val="15"/>
                <w:b w:val="1"/>
                <w:bCs w:val="1"/>
                <w:color w:val="auto"/>
              </w:rPr>
              <w:t>RICHARD XU</w:t>
            </w:r>
          </w:p>
        </w:tc>
        <w:tc>
          <w:tcPr>
            <w:tcW w:w="2760" w:type="dxa"/>
            <w:vAlign w:val="bottom"/>
          </w:tcPr>
          <w:p>
            <w:pPr>
              <w:jc w:val="center"/>
              <w:ind w:left="784"/>
              <w:spacing w:after="0"/>
              <w:rPr>
                <w:sz w:val="20"/>
                <w:szCs w:val="20"/>
                <w:color w:val="auto"/>
              </w:rPr>
            </w:pPr>
            <w:r>
              <w:rPr>
                <w:rFonts w:ascii="Times New Roman" w:cs="Times New Roman" w:eastAsia="Times New Roman" w:hAnsi="Times New Roman"/>
                <w:sz w:val="15"/>
                <w:szCs w:val="15"/>
                <w:color w:val="auto"/>
              </w:rPr>
              <w:t>(212) 448–1100</w:t>
            </w:r>
          </w:p>
        </w:tc>
        <w:tc>
          <w:tcPr>
            <w:tcW w:w="0" w:type="dxa"/>
            <w:vAlign w:val="bottom"/>
          </w:tcPr>
          <w:p>
            <w:pPr>
              <w:spacing w:after="0"/>
              <w:rPr>
                <w:sz w:val="1"/>
                <w:szCs w:val="1"/>
                <w:color w:val="auto"/>
              </w:rPr>
            </w:pPr>
          </w:p>
        </w:tc>
      </w:tr>
      <w:tr>
        <w:trPr>
          <w:trHeight w:val="183"/>
        </w:trPr>
        <w:tc>
          <w:tcPr>
            <w:tcW w:w="2900" w:type="dxa"/>
            <w:vAlign w:val="bottom"/>
            <w:vMerge w:val="continue"/>
          </w:tcPr>
          <w:p>
            <w:pPr>
              <w:spacing w:after="0"/>
              <w:rPr>
                <w:sz w:val="15"/>
                <w:szCs w:val="15"/>
                <w:color w:val="auto"/>
              </w:rPr>
            </w:pPr>
          </w:p>
        </w:tc>
        <w:tc>
          <w:tcPr>
            <w:tcW w:w="2760" w:type="dxa"/>
            <w:vAlign w:val="bottom"/>
          </w:tcPr>
          <w:p>
            <w:pPr>
              <w:jc w:val="center"/>
              <w:ind w:left="824"/>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0"/>
                <w:szCs w:val="10"/>
                <w:color w:val="auto"/>
              </w:rPr>
              <w:t>ax</w:t>
            </w:r>
            <w:r>
              <w:rPr>
                <w:rFonts w:ascii="Times New Roman" w:cs="Times New Roman" w:eastAsia="Times New Roman" w:hAnsi="Times New Roman"/>
                <w:sz w:val="15"/>
                <w:szCs w:val="15"/>
                <w:color w:val="auto"/>
              </w:rPr>
              <w:t xml:space="preserve"> (212) 448–0066</w:t>
            </w:r>
          </w:p>
        </w:tc>
        <w:tc>
          <w:tcPr>
            <w:tcW w:w="0" w:type="dxa"/>
            <w:vAlign w:val="bottom"/>
          </w:tcPr>
          <w:p>
            <w:pPr>
              <w:spacing w:after="0"/>
              <w:rPr>
                <w:sz w:val="1"/>
                <w:szCs w:val="1"/>
                <w:color w:val="auto"/>
              </w:rPr>
            </w:pPr>
          </w:p>
        </w:tc>
      </w:tr>
      <w:tr>
        <w:trPr>
          <w:trHeight w:val="183"/>
        </w:trPr>
        <w:tc>
          <w:tcPr>
            <w:tcW w:w="2900" w:type="dxa"/>
            <w:vAlign w:val="bottom"/>
          </w:tcPr>
          <w:p>
            <w:pPr>
              <w:jc w:val="center"/>
              <w:ind w:right="824"/>
              <w:spacing w:after="0"/>
              <w:rPr>
                <w:sz w:val="20"/>
                <w:szCs w:val="20"/>
                <w:color w:val="auto"/>
              </w:rPr>
            </w:pPr>
            <w:r>
              <w:rPr>
                <w:rFonts w:ascii="Times New Roman" w:cs="Times New Roman" w:eastAsia="Times New Roman" w:hAnsi="Times New Roman"/>
                <w:sz w:val="15"/>
                <w:szCs w:val="15"/>
                <w:color w:val="auto"/>
              </w:rPr>
              <w:t>Partner</w:t>
            </w:r>
          </w:p>
        </w:tc>
        <w:tc>
          <w:tcPr>
            <w:tcW w:w="2760" w:type="dxa"/>
            <w:vAlign w:val="bottom"/>
          </w:tcPr>
          <w:p>
            <w:pPr>
              <w:jc w:val="center"/>
              <w:ind w:left="844"/>
              <w:spacing w:after="0"/>
              <w:rPr>
                <w:sz w:val="20"/>
                <w:szCs w:val="20"/>
                <w:color w:val="auto"/>
              </w:rPr>
            </w:pPr>
            <w:r>
              <w:rPr>
                <w:rFonts w:ascii="Times New Roman" w:cs="Times New Roman" w:eastAsia="Times New Roman" w:hAnsi="Times New Roman"/>
                <w:sz w:val="15"/>
                <w:szCs w:val="15"/>
                <w:color w:val="auto"/>
              </w:rPr>
              <w:t>www.mclaughlinstern.com</w:t>
            </w:r>
          </w:p>
        </w:tc>
        <w:tc>
          <w:tcPr>
            <w:tcW w:w="0" w:type="dxa"/>
            <w:vAlign w:val="bottom"/>
          </w:tcPr>
          <w:p>
            <w:pPr>
              <w:spacing w:after="0"/>
              <w:rPr>
                <w:sz w:val="1"/>
                <w:szCs w:val="1"/>
                <w:color w:val="auto"/>
              </w:rPr>
            </w:pPr>
          </w:p>
        </w:tc>
      </w:tr>
      <w:tr>
        <w:trPr>
          <w:trHeight w:val="183"/>
        </w:trPr>
        <w:tc>
          <w:tcPr>
            <w:tcW w:w="2900" w:type="dxa"/>
            <w:vAlign w:val="bottom"/>
          </w:tcPr>
          <w:p>
            <w:pPr>
              <w:jc w:val="center"/>
              <w:ind w:right="844"/>
              <w:spacing w:after="0"/>
              <w:rPr>
                <w:sz w:val="20"/>
                <w:szCs w:val="20"/>
                <w:color w:val="auto"/>
              </w:rPr>
            </w:pPr>
            <w:r>
              <w:rPr>
                <w:rFonts w:ascii="Times New Roman" w:cs="Times New Roman" w:eastAsia="Times New Roman" w:hAnsi="Times New Roman"/>
                <w:sz w:val="15"/>
                <w:szCs w:val="15"/>
                <w:color w:val="auto"/>
              </w:rPr>
              <w:t>RXu@mclaughlinstern.com</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00" w:type="dxa"/>
            <w:vAlign w:val="bottom"/>
          </w:tcPr>
          <w:p>
            <w:pPr>
              <w:jc w:val="center"/>
              <w:ind w:right="804"/>
              <w:spacing w:after="0"/>
              <w:rPr>
                <w:sz w:val="20"/>
                <w:szCs w:val="20"/>
                <w:color w:val="auto"/>
              </w:rPr>
            </w:pPr>
            <w:r>
              <w:rPr>
                <w:rFonts w:ascii="Times New Roman" w:cs="Times New Roman" w:eastAsia="Times New Roman" w:hAnsi="Times New Roman"/>
                <w:sz w:val="15"/>
                <w:szCs w:val="15"/>
                <w:color w:val="auto"/>
              </w:rPr>
              <w:t>(212) 448-6233</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GD Culture Group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111 Town Square Place, Suite #1203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Jersey City, NJ 07310</w:t>
      </w:r>
    </w:p>
    <w:p>
      <w:pPr>
        <w:spacing w:after="0" w:line="17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5"/>
          <w:szCs w:val="15"/>
          <w:color w:val="auto"/>
        </w:rPr>
        <w:t>Re:</w:t>
      </w:r>
      <w:r>
        <w:rPr>
          <w:sz w:val="20"/>
          <w:szCs w:val="20"/>
          <w:color w:val="auto"/>
        </w:rPr>
        <w:tab/>
      </w:r>
      <w:r>
        <w:rPr>
          <w:rFonts w:ascii="Times New Roman" w:cs="Times New Roman" w:eastAsia="Times New Roman" w:hAnsi="Times New Roman"/>
          <w:sz w:val="15"/>
          <w:szCs w:val="15"/>
          <w:color w:val="auto"/>
        </w:rPr>
        <w:t>GD Culture Group Limited - Registration Statement on Form S-3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Sirs: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r>
        <w:rPr>
          <w:rFonts w:ascii="Times New Roman" w:cs="Times New Roman" w:eastAsia="Times New Roman" w:hAnsi="Times New Roman"/>
          <w:sz w:val="15"/>
          <w:szCs w:val="15"/>
          <w:color w:val="auto"/>
        </w:rPr>
        <w:t>, 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illbrook</w:t>
      </w:r>
      <w:r>
        <w:rPr>
          <w:rFonts w:ascii="Times New Roman" w:cs="Times New Roman" w:eastAsia="Times New Roman" w:hAnsi="Times New Roman"/>
          <w:sz w:val="15"/>
          <w:szCs w:val="15"/>
          <w:color w:val="auto"/>
        </w:rPr>
        <w:t>, 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G</w:t>
      </w:r>
      <w:r>
        <w:rPr>
          <w:rFonts w:ascii="Times New Roman" w:cs="Times New Roman" w:eastAsia="Times New Roman" w:hAnsi="Times New Roman"/>
          <w:sz w:val="10"/>
          <w:szCs w:val="10"/>
          <w:color w:val="auto"/>
        </w:rPr>
        <w:t>arden city</w:t>
      </w:r>
      <w:r>
        <w:rPr>
          <w:rFonts w:ascii="Times New Roman" w:cs="Times New Roman" w:eastAsia="Times New Roman" w:hAnsi="Times New Roman"/>
          <w:sz w:val="15"/>
          <w:szCs w:val="15"/>
          <w:color w:val="auto"/>
        </w:rPr>
        <w:t>, 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Y</w:t>
      </w:r>
      <w:r>
        <w:rPr>
          <w:rFonts w:ascii="Times New Roman" w:cs="Times New Roman" w:eastAsia="Times New Roman" w:hAnsi="Times New Roman"/>
          <w:sz w:val="10"/>
          <w:szCs w:val="10"/>
          <w:color w:val="auto"/>
        </w:rPr>
        <w:t>ork</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W</w:t>
      </w:r>
      <w:r>
        <w:rPr>
          <w:rFonts w:ascii="Times New Roman" w:cs="Times New Roman" w:eastAsia="Times New Roman" w:hAnsi="Times New Roman"/>
          <w:sz w:val="10"/>
          <w:szCs w:val="10"/>
          <w:color w:val="auto"/>
        </w:rPr>
        <w:t>estport</w:t>
      </w:r>
      <w:r>
        <w:rPr>
          <w:rFonts w:ascii="Times New Roman" w:cs="Times New Roman" w:eastAsia="Times New Roman" w:hAnsi="Times New Roman"/>
          <w:sz w:val="15"/>
          <w:szCs w:val="15"/>
          <w:color w:val="auto"/>
        </w:rPr>
        <w:t>, C</w:t>
      </w:r>
      <w:r>
        <w:rPr>
          <w:rFonts w:ascii="Times New Roman" w:cs="Times New Roman" w:eastAsia="Times New Roman" w:hAnsi="Times New Roman"/>
          <w:sz w:val="10"/>
          <w:szCs w:val="10"/>
          <w:color w:val="auto"/>
        </w:rPr>
        <w:t>onnecticut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w:t>
      </w:r>
      <w:r>
        <w:rPr>
          <w:rFonts w:ascii="Times New Roman" w:cs="Times New Roman" w:eastAsia="Times New Roman" w:hAnsi="Times New Roman"/>
          <w:sz w:val="10"/>
          <w:szCs w:val="10"/>
          <w:color w:val="auto"/>
        </w:rPr>
        <w:t>est</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0"/>
          <w:szCs w:val="10"/>
          <w:color w:val="auto"/>
        </w:rPr>
        <w:t>alm</w:t>
      </w:r>
      <w:r>
        <w:rPr>
          <w:rFonts w:ascii="Times New Roman" w:cs="Times New Roman" w:eastAsia="Times New Roman" w:hAnsi="Times New Roman"/>
          <w:sz w:val="15"/>
          <w:szCs w:val="15"/>
          <w:color w:val="auto"/>
        </w:rPr>
        <w:t xml:space="preserve"> B</w:t>
      </w:r>
      <w:r>
        <w:rPr>
          <w:rFonts w:ascii="Times New Roman" w:cs="Times New Roman" w:eastAsia="Times New Roman" w:hAnsi="Times New Roman"/>
          <w:sz w:val="10"/>
          <w:szCs w:val="10"/>
          <w:color w:val="auto"/>
        </w:rPr>
        <w:t>each</w:t>
      </w:r>
      <w:r>
        <w:rPr>
          <w:rFonts w:ascii="Times New Roman" w:cs="Times New Roman" w:eastAsia="Times New Roman" w:hAnsi="Times New Roman"/>
          <w:sz w:val="15"/>
          <w:szCs w:val="15"/>
          <w:color w:val="auto"/>
        </w:rPr>
        <w:t>, F</w:t>
      </w:r>
      <w:r>
        <w:rPr>
          <w:rFonts w:ascii="Times New Roman" w:cs="Times New Roman" w:eastAsia="Times New Roman" w:hAnsi="Times New Roman"/>
          <w:sz w:val="10"/>
          <w:szCs w:val="10"/>
          <w:color w:val="auto"/>
        </w:rPr>
        <w:t>lorida</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W</w:t>
      </w:r>
      <w:r>
        <w:rPr>
          <w:rFonts w:ascii="Times New Roman" w:cs="Times New Roman" w:eastAsia="Times New Roman" w:hAnsi="Times New Roman"/>
          <w:sz w:val="10"/>
          <w:szCs w:val="10"/>
          <w:color w:val="auto"/>
        </w:rPr>
        <w:t>estfield</w:t>
      </w:r>
      <w:r>
        <w:rPr>
          <w:rFonts w:ascii="Times New Roman" w:cs="Times New Roman" w:eastAsia="Times New Roman" w:hAnsi="Times New Roman"/>
          <w:sz w:val="15"/>
          <w:szCs w:val="15"/>
          <w:color w:val="auto"/>
        </w:rPr>
        <w:t>, N</w:t>
      </w:r>
      <w:r>
        <w:rPr>
          <w:rFonts w:ascii="Times New Roman" w:cs="Times New Roman" w:eastAsia="Times New Roman" w:hAnsi="Times New Roman"/>
          <w:sz w:val="10"/>
          <w:szCs w:val="10"/>
          <w:color w:val="auto"/>
        </w:rPr>
        <w:t>ew</w:t>
      </w:r>
      <w:r>
        <w:rPr>
          <w:rFonts w:ascii="Times New Roman" w:cs="Times New Roman" w:eastAsia="Times New Roman" w:hAnsi="Times New Roman"/>
          <w:sz w:val="15"/>
          <w:szCs w:val="15"/>
          <w:color w:val="auto"/>
        </w:rPr>
        <w:t xml:space="preserve"> J</w:t>
      </w:r>
      <w:r>
        <w:rPr>
          <w:rFonts w:ascii="Times New Roman" w:cs="Times New Roman" w:eastAsia="Times New Roman" w:hAnsi="Times New Roman"/>
          <w:sz w:val="10"/>
          <w:szCs w:val="10"/>
          <w:color w:val="auto"/>
        </w:rPr>
        <w:t>ersey</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January 23, 2026</w:t>
      </w:r>
    </w:p>
    <w:p>
      <w:pPr>
        <w:spacing w:after="0" w:line="1659" w:lineRule="exact"/>
        <w:rPr>
          <w:sz w:val="20"/>
          <w:szCs w:val="20"/>
          <w:color w:val="auto"/>
        </w:rPr>
      </w:pPr>
    </w:p>
    <w:p>
      <w:pPr>
        <w:sectPr>
          <w:pgSz w:w="11900" w:h="16838" w:orient="portrait"/>
          <w:cols w:equalWidth="0" w:num="2">
            <w:col w:w="7800" w:space="720"/>
            <w:col w:w="2740"/>
          </w:cols>
          <w:pgMar w:left="320" w:top="121" w:right="319" w:bottom="1440" w:gutter="0" w:footer="0" w:header="0"/>
        </w:sectPr>
      </w:pPr>
    </w:p>
    <w:p>
      <w:pPr>
        <w:jc w:val="both"/>
        <w:ind w:firstLine="549"/>
        <w:spacing w:after="0" w:line="256" w:lineRule="auto"/>
        <w:rPr>
          <w:sz w:val="20"/>
          <w:szCs w:val="20"/>
          <w:color w:val="auto"/>
        </w:rPr>
      </w:pPr>
      <w:r>
        <w:rPr>
          <w:rFonts w:ascii="Times New Roman" w:cs="Times New Roman" w:eastAsia="Times New Roman" w:hAnsi="Times New Roman"/>
          <w:sz w:val="15"/>
          <w:szCs w:val="15"/>
          <w:color w:val="auto"/>
        </w:rPr>
        <w:t>You have requested our opinion with respect to certain matters in connection with the filing by GD Culture Group Limited, a Nevada corporation (the “Company”), of a Registration Statement on Form S-3 (as may be amended or supplemented, the “Registration Statement”) with the Securities and Exchange Commission (the “Commission”) relating to the registration for offer and sale from time to time by the Company of an indeterminate number of the following securities of the Company, with an initial aggregate offering price of up to $500,000,000: (i) shares of the Company’s common stock, par value $0.0001 per share (the “Common Stock”), (ii) shares of the Company’s preferred stock, par value $0.0001 per share (the “Preferred Stock”), (iii) warrants (the “Warrants”) to purchase shares of Common Stock or other securities offered pursuant to and described in the Prospectus and the applicable Prospectus Supplement(s) (as defined below) issued pursuant to one or more warrant agreements in the forms to filed as exhibits to a post-effective amendment or in a Prospectus Supplement (each, a “Warrant Agreement”); (iv) debt securities, which may be offered as senior or subordinated and may be convertible (the “Debt Securities”), which may be issued pursuant to a debt purchase agreement or an indenture to be dated on or about the date of the first issuance of the Debt Securities thereunder, by and between a trustee to be selected by the Company (the “Trustee”) and the Company, in the form filed as an exhibit to a post-effective amendment or a Prospectus Supplement, as such debt purchase agreement may be supplemented from time to time (the “Debt Purchase Agreement”) or as such indenture may be supplemented from time to time (the “Indenture”); (v) rights to purchase shares of Common Stock or other securities offered pursuant to and described in the Prospectus and the applicable Prospectus Supplement/s (the “Rights”) issued pursuant to one or more rights agreements in the forms to filed as exhibits to a post-effective amendment or in a Prospectus Supplement (each, a “Rights Agreement”), which such rights may be offered separately or together with one or more additional rights, or such other securities, or in any combination of such securities in the form of Units (as defined below); and (vi) units comprising shares of Common Stock and/or one or more of the other securities described above (the “Units” and together with the Common Stock, the Preferred Stock, the Warrants, the Debt Securities and the Rights, the “Securities”) issued pursuant to one or more unit agreements in the forms to filed as exhibits to a post-effective amendment or in a Prospectus Supplement (each, a “Unit Agreement”). The Prospectus may be amended from time to time in connection with one or more post-effective amendments to the Registration Statement, and the Prospectus provides that it will be supplemented in the future by one or more prospectus supplements (each, a “Prospectus Supplement”). This opinion is being furnished in accordance with the requirements of Item 601(b)(5) of Regulation S-K under the Securities Act of 1933, as amended, and no opinion is expressed herein as to any matter pertaining to the contents of the Registration Statement, other than as to the validity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362585</wp:posOffset>
            </wp:positionV>
            <wp:extent cx="7153275"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61" w:name="page162"/>
    <w:bookmarkEnd w:id="161"/>
    <w:p>
      <w:pPr>
        <w:ind w:left="8"/>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c</w:t>
      </w:r>
      <w:r>
        <w:rPr>
          <w:rFonts w:ascii="Times New Roman" w:cs="Times New Roman" w:eastAsia="Times New Roman" w:hAnsi="Times New Roman"/>
          <w:sz w:val="15"/>
          <w:szCs w:val="15"/>
          <w:color w:val="auto"/>
        </w:rPr>
        <w:t>L</w:t>
      </w:r>
      <w:r>
        <w:rPr>
          <w:rFonts w:ascii="Times New Roman" w:cs="Times New Roman" w:eastAsia="Times New Roman" w:hAnsi="Times New Roman"/>
          <w:sz w:val="10"/>
          <w:szCs w:val="10"/>
          <w:color w:val="auto"/>
        </w:rPr>
        <w:t>aughlin</w:t>
      </w:r>
      <w:r>
        <w:rPr>
          <w:rFonts w:ascii="Times New Roman" w:cs="Times New Roman" w:eastAsia="Times New Roman" w:hAnsi="Times New Roman"/>
          <w:sz w:val="15"/>
          <w:szCs w:val="15"/>
          <w:color w:val="auto"/>
        </w:rPr>
        <w:t xml:space="preserve"> &amp; S</w:t>
      </w:r>
      <w:r>
        <w:rPr>
          <w:rFonts w:ascii="Times New Roman" w:cs="Times New Roman" w:eastAsia="Times New Roman" w:hAnsi="Times New Roman"/>
          <w:sz w:val="10"/>
          <w:szCs w:val="10"/>
          <w:color w:val="auto"/>
        </w:rPr>
        <w:t>tern</w:t>
      </w:r>
      <w:r>
        <w:rPr>
          <w:rFonts w:ascii="Times New Roman" w:cs="Times New Roman" w:eastAsia="Times New Roman" w:hAnsi="Times New Roman"/>
          <w:sz w:val="15"/>
          <w:szCs w:val="15"/>
          <w:color w:val="auto"/>
        </w:rPr>
        <w:t>, LLP</w:t>
      </w:r>
    </w:p>
    <w:p>
      <w:pPr>
        <w:spacing w:after="0" w:line="194" w:lineRule="exact"/>
        <w:rPr>
          <w:sz w:val="20"/>
          <w:szCs w:val="20"/>
          <w:color w:val="auto"/>
        </w:rPr>
      </w:pPr>
    </w:p>
    <w:p>
      <w:pPr>
        <w:jc w:val="both"/>
        <w:ind w:left="8" w:firstLine="549"/>
        <w:spacing w:after="0" w:line="260" w:lineRule="auto"/>
        <w:rPr>
          <w:sz w:val="20"/>
          <w:szCs w:val="20"/>
          <w:color w:val="auto"/>
        </w:rPr>
      </w:pPr>
      <w:r>
        <w:rPr>
          <w:rFonts w:ascii="Times New Roman" w:cs="Times New Roman" w:eastAsia="Times New Roman" w:hAnsi="Times New Roman"/>
          <w:sz w:val="15"/>
          <w:szCs w:val="15"/>
          <w:color w:val="auto"/>
        </w:rPr>
        <w:t>In our capacity as the Company’s counsel in connection with such registration, we are familiar with the proceedings taken and proposed to be taken by the Company in connection with the authorization and issue of the Securities. For purposes of this opinion, we have assumed that such proceedings to be taken in the future will be timely completed in the manner presently proposed and that the terms of each issuance will otherwise be in compliance with law. In addition, we have examined such matters of fact and questions of law as we have considered appropriate for purposes of this letter. 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We have assumed the authenticity of all documents submitted to us as originals, the conformity to originals of all documents submitted to us as copies thereof and the genuineness of all signatures. As to questions of fact material to our opinion, we have relied upon the certificates of certain officers of the Company.</w:t>
      </w:r>
    </w:p>
    <w:p>
      <w:pPr>
        <w:spacing w:after="0" w:line="157" w:lineRule="exact"/>
        <w:rPr>
          <w:sz w:val="20"/>
          <w:szCs w:val="20"/>
          <w:color w:val="auto"/>
        </w:rPr>
      </w:pPr>
    </w:p>
    <w:p>
      <w:pPr>
        <w:jc w:val="both"/>
        <w:ind w:left="8" w:firstLine="549"/>
        <w:spacing w:after="0" w:line="258" w:lineRule="auto"/>
        <w:rPr>
          <w:sz w:val="20"/>
          <w:szCs w:val="20"/>
          <w:color w:val="auto"/>
        </w:rPr>
      </w:pPr>
      <w:r>
        <w:rPr>
          <w:rFonts w:ascii="Times New Roman" w:cs="Times New Roman" w:eastAsia="Times New Roman" w:hAnsi="Times New Roman"/>
          <w:sz w:val="15"/>
          <w:szCs w:val="15"/>
          <w:color w:val="auto"/>
        </w:rPr>
        <w:t>With respect to our opinion as to the Common Stock and Preferred Stock, we have assumed that, at the time of issuance and sale, a sufficient number of shares of Common Stock and Preferred Stock are authorized and available for issuance and that the consideration for the issuance and sale of the Common Stock and/or Preferred Stock (or other Securities convertible into, or exercisable for, shares of Common Stock and/or Preferred Stock, as applicable) is in an amount that is not less than the par value of the shares of Common Stock and/or Preferred Stock. We have also assumed that (i) any Warrants offered under the Registration Statement, and the related Warrant Agreement, will be executed in the forms filed as exhibits to a Prospectus Supplement, (ii) any Debt Securities offered under the Registration Statement, and the related Debt Purchase Agreement, will be executed in the forms filed as exhibits to a Prospectus Supplement, (iii) any Rights offered under the Registration Statement, and the related Rights Agreement, will be executed in the forms filed as exhibits to a Prospectus Supplement, (iv) any Units offered under the Registration Statement, and the related Unit Agreement, will be executed in the forms filed as exhibits to a Prospectus Supplement, and (v) with respect to any Securities being issued upon conversion of any other Securities or upon exercise of any Warrants, the applicable convertible Securities or Warrants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58" w:lineRule="exact"/>
        <w:rPr>
          <w:sz w:val="20"/>
          <w:szCs w:val="20"/>
          <w:color w:val="auto"/>
        </w:rPr>
      </w:pPr>
    </w:p>
    <w:p>
      <w:pPr>
        <w:jc w:val="both"/>
        <w:ind w:left="8" w:firstLine="549"/>
        <w:spacing w:after="0" w:line="272" w:lineRule="auto"/>
        <w:rPr>
          <w:sz w:val="20"/>
          <w:szCs w:val="20"/>
          <w:color w:val="auto"/>
        </w:rPr>
      </w:pPr>
      <w:r>
        <w:rPr>
          <w:rFonts w:ascii="Times New Roman" w:cs="Times New Roman" w:eastAsia="Times New Roman" w:hAnsi="Times New Roman"/>
          <w:sz w:val="15"/>
          <w:szCs w:val="15"/>
          <w:color w:val="auto"/>
        </w:rPr>
        <w:t>With respect to our opinion as to the Rights and the Units, we have assumed that, at the time of issuance and sale, there are a sufficient number of Securities available for issuance and that the consideration for the issuance of the particular Securities underlying the sale of the Rights and the Units is in an amount that is not less than the par value of such underlying Securities.</w:t>
      </w:r>
    </w:p>
    <w:p>
      <w:pPr>
        <w:spacing w:after="0" w:line="146" w:lineRule="exact"/>
        <w:rPr>
          <w:sz w:val="20"/>
          <w:szCs w:val="20"/>
          <w:color w:val="auto"/>
        </w:rPr>
      </w:pPr>
    </w:p>
    <w:p>
      <w:pPr>
        <w:jc w:val="both"/>
        <w:ind w:left="8" w:firstLine="549"/>
        <w:spacing w:after="0" w:line="265" w:lineRule="auto"/>
        <w:rPr>
          <w:sz w:val="20"/>
          <w:szCs w:val="20"/>
          <w:color w:val="auto"/>
        </w:rPr>
      </w:pPr>
      <w:r>
        <w:rPr>
          <w:rFonts w:ascii="Times New Roman" w:cs="Times New Roman" w:eastAsia="Times New Roman" w:hAnsi="Times New Roman"/>
          <w:sz w:val="15"/>
          <w:szCs w:val="15"/>
          <w:color w:val="auto"/>
        </w:rPr>
        <w:t>Our opinions set forth below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w:t>
      </w:r>
    </w:p>
    <w:p>
      <w:pPr>
        <w:jc w:val="both"/>
        <w:ind w:left="8" w:hanging="8"/>
        <w:spacing w:after="0" w:line="259" w:lineRule="auto"/>
        <w:tabs>
          <w:tab w:leader="none" w:pos="248"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spacing w:after="0" w:line="340" w:lineRule="exact"/>
        <w:rPr>
          <w:sz w:val="20"/>
          <w:szCs w:val="20"/>
          <w:color w:val="auto"/>
        </w:rPr>
      </w:pPr>
    </w:p>
    <w:p>
      <w:pPr>
        <w:jc w:val="both"/>
        <w:ind w:left="8" w:firstLine="549"/>
        <w:spacing w:after="0" w:line="259" w:lineRule="auto"/>
        <w:rPr>
          <w:sz w:val="20"/>
          <w:szCs w:val="20"/>
          <w:color w:val="auto"/>
        </w:rPr>
      </w:pPr>
      <w:r>
        <w:rPr>
          <w:rFonts w:ascii="Times New Roman" w:cs="Times New Roman" w:eastAsia="Times New Roman" w:hAnsi="Times New Roman"/>
          <w:sz w:val="15"/>
          <w:szCs w:val="15"/>
          <w:color w:val="auto"/>
        </w:rPr>
        <w:t>To the extent that the obligations of the Company with respect to the Securities may depend on such matters, we assume for purposes of this opinion that the other party under the Indenture for any Debt Securities, under the Warrant Agreement for any Warrants, under the Unit Agreement for any Units and under the Rights Agreement for any Rights, namely, the Trustee, the warrant agent, the unit agent or the rights agent, respectively, is duly organized, validly existing and in good standing under the laws of its jurisdiction of organization; that such other party is duly qualified to engage in the activities contemplated by such Indenture, Warrant Agreement, Unit Agreement or Rights Agreement, as applicable; that such Indenture, Warrant Agreement, Unit Agreement or Rights Agreement has been duly authorized, executed and delivered by such other party and constitutes the legally valid, binding and enforceable obligation of such other party, enforceable against such other party in accordance with its terms; that such other party is in compliance, generally and with respect to performance of its obligations under such Indenture, Warrant Agreement, Unit Agreement or Rights Agreement, as applicable, with all applicable laws and regulations; and that such other party has the requisite organizational and legal power and authority to perform its obligations under such Indenture, Warrant Agreement, Unit Agreement or Rights Agreement, as applicable.</w:t>
      </w:r>
    </w:p>
    <w:p>
      <w:pPr>
        <w:spacing w:after="0" w:line="316" w:lineRule="exact"/>
        <w:rPr>
          <w:sz w:val="20"/>
          <w:szCs w:val="20"/>
          <w:color w:val="auto"/>
        </w:rPr>
      </w:pPr>
    </w:p>
    <w:p>
      <w:pPr>
        <w:jc w:val="center"/>
        <w:ind w:right="12"/>
        <w:spacing w:after="0" w:line="161" w:lineRule="exact"/>
        <w:rPr>
          <w:sz w:val="20"/>
          <w:szCs w:val="20"/>
          <w:color w:val="auto"/>
        </w:rPr>
      </w:pPr>
      <w:r>
        <w:rPr>
          <w:rFonts w:ascii="Times New Roman" w:cs="Times New Roman" w:eastAsia="Times New Roman" w:hAnsi="Times New Roman"/>
          <w:sz w:val="14"/>
          <w:szCs w:val="14"/>
          <w:color w:val="auto"/>
        </w:rPr>
        <w:t xml:space="preserve">New York, 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Garden City, 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Millbrook, 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Westfield, NJ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Westport, 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West Palm Beach, FL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Naples, FL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Sarasota, FL</w:t>
      </w: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c</w:t>
      </w:r>
      <w:r>
        <w:rPr>
          <w:rFonts w:ascii="Times New Roman" w:cs="Times New Roman" w:eastAsia="Times New Roman" w:hAnsi="Times New Roman"/>
          <w:sz w:val="15"/>
          <w:szCs w:val="15"/>
          <w:color w:val="auto"/>
        </w:rPr>
        <w:t>L</w:t>
      </w:r>
      <w:r>
        <w:rPr>
          <w:rFonts w:ascii="Times New Roman" w:cs="Times New Roman" w:eastAsia="Times New Roman" w:hAnsi="Times New Roman"/>
          <w:sz w:val="10"/>
          <w:szCs w:val="10"/>
          <w:color w:val="auto"/>
        </w:rPr>
        <w:t>aughlin</w:t>
      </w:r>
      <w:r>
        <w:rPr>
          <w:rFonts w:ascii="Times New Roman" w:cs="Times New Roman" w:eastAsia="Times New Roman" w:hAnsi="Times New Roman"/>
          <w:sz w:val="15"/>
          <w:szCs w:val="15"/>
          <w:color w:val="auto"/>
        </w:rPr>
        <w:t xml:space="preserve"> &amp; S</w:t>
      </w:r>
      <w:r>
        <w:rPr>
          <w:rFonts w:ascii="Times New Roman" w:cs="Times New Roman" w:eastAsia="Times New Roman" w:hAnsi="Times New Roman"/>
          <w:sz w:val="10"/>
          <w:szCs w:val="10"/>
          <w:color w:val="auto"/>
        </w:rPr>
        <w:t>tern</w:t>
      </w:r>
      <w:r>
        <w:rPr>
          <w:rFonts w:ascii="Times New Roman" w:cs="Times New Roman" w:eastAsia="Times New Roman" w:hAnsi="Times New Roman"/>
          <w:sz w:val="15"/>
          <w:szCs w:val="15"/>
          <w:color w:val="auto"/>
        </w:rPr>
        <w:t>, LLP</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On the basis of the foregoing and in reliance thereon, and subject to the qualifications herein stated, we are of the opinion that:</w:t>
      </w:r>
    </w:p>
    <w:p>
      <w:pPr>
        <w:spacing w:after="0" w:line="194"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A. With respect to the Common Stock offered under the Registration Statement, provided that (i) the Registration Statement and any required post-effective amendment thereto have all become (and remain) effective under the Securities Act and the Prospectus and any and all Prospectus Supplement(s) thereto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articles of incorporation, as amended (the “Articles of Incorporation”), including, without limitation the authorization thereunder of a sufficient number of shares of Common Stock, and the Company’s amended and restated bylaws (the “Bylaws”), do not result in a default under or breach of any agreement or instrument binding upon the Company and comply with any applicable requirements and restrictions imposed by any court or governmental body having jurisdiction over the Company; and (iv) the certificates for the Common Stock have been duly executed by the Company, countersigned by the transfer agent therefor and duly delivered to the purchasers thereof against payment therefor, then the Common Stock, when issued and sold as contemplated in the Registration Statement, the Prospectus and the related Prospectus Supplement(s) and in accordance with any applicable duly authorized, executed and delivered purchase, underwriting or similar agreement, will be duly authorized, validly issued, fully paid and nonassessable.</w:t>
      </w:r>
    </w:p>
    <w:p>
      <w:pPr>
        <w:spacing w:after="0" w:line="161" w:lineRule="exact"/>
        <w:rPr>
          <w:sz w:val="20"/>
          <w:szCs w:val="20"/>
          <w:color w:val="auto"/>
        </w:rPr>
      </w:pPr>
    </w:p>
    <w:p>
      <w:pPr>
        <w:jc w:val="both"/>
        <w:ind w:firstLine="549"/>
        <w:spacing w:after="0" w:line="259" w:lineRule="auto"/>
        <w:rPr>
          <w:sz w:val="20"/>
          <w:szCs w:val="20"/>
          <w:color w:val="auto"/>
        </w:rPr>
      </w:pPr>
      <w:r>
        <w:rPr>
          <w:rFonts w:ascii="Times New Roman" w:cs="Times New Roman" w:eastAsia="Times New Roman" w:hAnsi="Times New Roman"/>
          <w:sz w:val="15"/>
          <w:szCs w:val="15"/>
          <w:color w:val="auto"/>
        </w:rPr>
        <w:t>B. With respect to the Preferred Stock offered under the Registration Statement, provided that (i) the Registration Statement and any required post-effective amendment thereto have all become (and remain) effective under the Securities Act and the Prospectus and any and all Prospectus Supplement(s) thereto required by applicable laws have been delivered and filed as required by such laws; (ii) the issuance of the Preferred Stock has been duly authorized by all necessary corporate action on the part of the Company; (iii) the issuance and sale of the Preferred Stock do not violate any applicable law, are in conformity with the Articles of Incorporation, including, without limitation the authorization thereunder of a sufficient number of shares of Preferred Stock, and the Bylaws, do not result in a default under or breach of any agreement or instrument binding upon the Company and comply with any applicable requirements and restrictions imposed by any court or governmental body having jurisdiction over the Company; and (iv) the certificates for the Preferred Stock have been duly executed by the Company, countersigned by the transfer agent therefor and duly delivered to the purchasers thereof against payment therefor, then the Preferred Stock, when issued and sold as contemplated in the Registration Statement, the Prospectus and the related Prospectus Supplement(s) and in accordance with any applicable duly authorized, executed and delivered purchase, underwriting or similar agreement, will be duly authorized, validly issued, fully paid and nonassessable.</w:t>
      </w:r>
    </w:p>
    <w:p>
      <w:pPr>
        <w:spacing w:after="0" w:line="156"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C. With respect to the Warrants to be issued under the Warrant Agreements and offered under the Registration Statement, provided that (i) the Registration Statement and any required post-effective amendment thereto have all become (and remain) effective under the Securities Act and the Prospectus and any and all Prospectus Supplement(s) required by applicable laws have been delivered and filed as required by such laws; (ii) any applicable Warrant Agreement has been duly authorized by the Company and the applicable warrant agent by all necessary corporate action; (iii) any applicable Warrant Agreement has been duly executed and delivered by the Company and the applicable warrant agent and the terms of the Warrant Agreement have been established in accordance with applicable law; (iv) the issuance and terms of the Warrants have been duly authorized by the Company by all necessary corporate action; (v) the terms of the Warrants and of their issuance and sale have been duly established in conformity with any applicable Warrant Agreement and as described in the Registration Statement, the Prospectus and the related Prospectus Supplement(s), so as not to violate any applicable law or result in a default under or breach of any agreement or instrument binding upon the Company, so as to be in conformity with the Articles of Incorporation and Bylaws, and so as to comply with any applicable requirements and restrictions imposed by any court or governmental body having jurisdiction over the Company; and (vi) the Warrants have been duly executed and delivered by the Company and authenticated by the applicable warrant agent pursuant to any applicable Warrant Agreement and delivered against payment therefor, then the Warrants, when issued and sold in accordance with the applicable Warrant Agreement and a duly authorized, executed and delivered purchase, underwriting or similar agreement, will be valid and legally binding obligations of the Company, enforceable against the Company in accordance with their terms.</w:t>
      </w:r>
    </w:p>
    <w:p>
      <w:pPr>
        <w:spacing w:after="0" w:line="120" w:lineRule="exact"/>
        <w:rPr>
          <w:sz w:val="20"/>
          <w:szCs w:val="20"/>
          <w:color w:val="auto"/>
        </w:rPr>
      </w:pPr>
    </w:p>
    <w:p>
      <w:pPr>
        <w:jc w:val="center"/>
        <w:ind w:right="20"/>
        <w:spacing w:after="0" w:line="173" w:lineRule="exact"/>
        <w:rPr>
          <w:sz w:val="20"/>
          <w:szCs w:val="20"/>
          <w:color w:val="auto"/>
        </w:rPr>
      </w:pPr>
      <w:r>
        <w:rPr>
          <w:rFonts w:ascii="Times New Roman" w:cs="Times New Roman" w:eastAsia="Times New Roman" w:hAnsi="Times New Roman"/>
          <w:sz w:val="15"/>
          <w:szCs w:val="15"/>
          <w:color w:val="auto"/>
        </w:rPr>
        <w:t xml:space="preserve">New York,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Garden City,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Millbrook,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Westfield, NJ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Westport, 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 Palm Beach,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Naples,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Sarasota, FL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c</w:t>
      </w:r>
      <w:r>
        <w:rPr>
          <w:rFonts w:ascii="Times New Roman" w:cs="Times New Roman" w:eastAsia="Times New Roman" w:hAnsi="Times New Roman"/>
          <w:sz w:val="15"/>
          <w:szCs w:val="15"/>
          <w:color w:val="auto"/>
        </w:rPr>
        <w:t>L</w:t>
      </w:r>
      <w:r>
        <w:rPr>
          <w:rFonts w:ascii="Times New Roman" w:cs="Times New Roman" w:eastAsia="Times New Roman" w:hAnsi="Times New Roman"/>
          <w:sz w:val="10"/>
          <w:szCs w:val="10"/>
          <w:color w:val="auto"/>
        </w:rPr>
        <w:t>aughlin</w:t>
      </w:r>
      <w:r>
        <w:rPr>
          <w:rFonts w:ascii="Times New Roman" w:cs="Times New Roman" w:eastAsia="Times New Roman" w:hAnsi="Times New Roman"/>
          <w:sz w:val="15"/>
          <w:szCs w:val="15"/>
          <w:color w:val="auto"/>
        </w:rPr>
        <w:t xml:space="preserve"> &amp; S</w:t>
      </w:r>
      <w:r>
        <w:rPr>
          <w:rFonts w:ascii="Times New Roman" w:cs="Times New Roman" w:eastAsia="Times New Roman" w:hAnsi="Times New Roman"/>
          <w:sz w:val="10"/>
          <w:szCs w:val="10"/>
          <w:color w:val="auto"/>
        </w:rPr>
        <w:t>tern</w:t>
      </w:r>
      <w:r>
        <w:rPr>
          <w:rFonts w:ascii="Times New Roman" w:cs="Times New Roman" w:eastAsia="Times New Roman" w:hAnsi="Times New Roman"/>
          <w:sz w:val="15"/>
          <w:szCs w:val="15"/>
          <w:color w:val="auto"/>
        </w:rPr>
        <w:t>, LLP</w:t>
      </w:r>
    </w:p>
    <w:p>
      <w:pPr>
        <w:spacing w:after="0" w:line="194"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D. With respect to any series of the Debt Securities issued under the Debt Purchase Agreement or Indenture, and offered under the Registration Statement, provided that (i) the Registration Statement and any required post-effective amendment thereto have all become (and remain) effective under the Securities Act and the Prospectus and any and all Prospectus Supplement(s) required by applicable laws have been delivered and filed as required by such laws; (ii) the Debt Purchase Agreement or Indenture has been duly authorized by the Company and the Trustee by all necessary corporate action; (iii) the Debt Purchase Agreement or Indenture is substantially in the form filed as an exhibit to post-effective amendment or a Prospectus Supplement, has been duly executed and delivered by the Company and the Trustee;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Articles of Incorporation and Bylaws, and so as to comply with any requirements and restrictions imposed by any court or governmental body having jurisdiction over the Company; and (vi) the Debt Securities have been duly executed and delivered by the Company and authenticated by the Trustee pursuant to the Debt Purchase Agreement or the Indenture and delivered against payment therefor, then the Debt Securities, when issued and sold in accordance with the Debt Purchase Agreement or the Indenture and a duly authorized, executed and delivered purchase, underwriting or similar agreement, will be valid and legally binding obligations of the Company, enforceable against the Company in accordance with their terms.</w:t>
      </w:r>
    </w:p>
    <w:p>
      <w:pPr>
        <w:spacing w:after="0" w:line="341"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E. With respect to the Rights offered under the Registration Statement, provided that (i) the Registration Statement and any required post-effective amendment thereto have all become (and remain) effective under the Securities Act and the Prospectus and any and all Prospectus Supplement(s) required by applicable laws have been delivered and filed as required by such laws; (ii) the terms and issuance of the Rights have been duly authorized by all necessary corporate action on the part of the Company; (iii) the terms of the Rights and their issuance and sale do not violate any applicable law, are in conformity with the Articles of Incorporation and Bylaws, do not result in a default under or breach of any agreement or instrument binding upon the Company and comply with any applicable requirements and restrictions imposed by any court or governmental body having jurisdiction over the Company; (iv) the issuance and terms of the Rights have been duly authorized by the Company by all necessary corporate action; (v) the terms of the Rights and of their issuance and sale have been duly established in conformity with the applicable Rights Agreement and other agreement(s) so as not to violate any applicable law or result in a default under or breach of any agreement or instrument binding upon the Company, so as to be in conformity with the Articles of Incorporation and Bylaws, and so as to comply with any applicable requirements and restrictions imposed by any court or governmental body having jurisdiction over the Company; and (vi) the Rights have been duly executed and delivered by the Company and delivered against payment therefor, then the Rights, when issued and sold in accordance with the applicable Rights Agreement and other agreement(s), and a duly authorized, executed and delivered purchase, underwriting or similar agreement, will be valid and legally binding obligations of the Company, enforceable against the Company in accordance with their terms.</w:t>
      </w:r>
    </w:p>
    <w:p>
      <w:pPr>
        <w:spacing w:after="0" w:line="341" w:lineRule="exact"/>
        <w:rPr>
          <w:sz w:val="20"/>
          <w:szCs w:val="20"/>
          <w:color w:val="auto"/>
        </w:rPr>
      </w:pPr>
    </w:p>
    <w:p>
      <w:pPr>
        <w:jc w:val="both"/>
        <w:ind w:firstLine="549"/>
        <w:spacing w:after="0" w:line="258" w:lineRule="auto"/>
        <w:rPr>
          <w:sz w:val="20"/>
          <w:szCs w:val="20"/>
          <w:color w:val="auto"/>
        </w:rPr>
      </w:pPr>
      <w:r>
        <w:rPr>
          <w:rFonts w:ascii="Times New Roman" w:cs="Times New Roman" w:eastAsia="Times New Roman" w:hAnsi="Times New Roman"/>
          <w:sz w:val="15"/>
          <w:szCs w:val="15"/>
          <w:color w:val="auto"/>
        </w:rPr>
        <w:t>F. With respect to the Units offered under the Registration Statement, provided that (i) the Registration Statement and any required post-effective amendment thereto have all become (and remain) effective under the Securities Act and the Prospectus and any and all Prospectus Supplement(s) required by applicable laws have been delivered and filed as required by such laws; (ii) the terms and issuance of the Units have been duly authorized by all necessary corporate action on the part of the Company; (iii) the terms of Units and their issuance and sale do not violate any applicable law, are in conformity with the Articles of Incorporation and Bylaws, do not result in a default under or breach of any agreement or instrument binding upon the Company and comply with any applicable requirements and restrictions imposed by any court or governmental body having jurisdiction over the Company; (iv) the issuance and terms of the Units have been duly authorized by the Company by all necessary corporate action; (v) the terms of the Units and of their issuance and sale have been duly established in conformity with the applicable Unit Agreement and other agreement(s) so as not to violate any applicable law or result in a default under or breach of any agreement or instrument binding upon the Company, so as to be in conformity with the Articles of Incorporation and Bylaws, and so as to comply with any requirement or restriction imposed by any court or governmental body having jurisdiction over the Company; and (vi) the Units have been duly executed and delivered by the Company and delivered against payment therefor, then the Units, when issued and sold in accordance with the applicable Unit Agreement and other agreement(s) and a duly authorized, executed and delivered purchase, underwriting or similar agreement, will be valid and legally binding obligations of the Company, enforceable against the Company in accordance with their terms.</w:t>
      </w:r>
    </w:p>
    <w:p>
      <w:pPr>
        <w:spacing w:after="0" w:line="123" w:lineRule="exact"/>
        <w:rPr>
          <w:sz w:val="20"/>
          <w:szCs w:val="20"/>
          <w:color w:val="auto"/>
        </w:rPr>
      </w:pPr>
    </w:p>
    <w:p>
      <w:pPr>
        <w:jc w:val="center"/>
        <w:ind w:right="20"/>
        <w:spacing w:after="0" w:line="173" w:lineRule="exact"/>
        <w:rPr>
          <w:sz w:val="20"/>
          <w:szCs w:val="20"/>
          <w:color w:val="auto"/>
        </w:rPr>
      </w:pPr>
      <w:r>
        <w:rPr>
          <w:rFonts w:ascii="Times New Roman" w:cs="Times New Roman" w:eastAsia="Times New Roman" w:hAnsi="Times New Roman"/>
          <w:sz w:val="15"/>
          <w:szCs w:val="15"/>
          <w:color w:val="auto"/>
        </w:rPr>
        <w:t xml:space="preserve">New York,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Garden City,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Millbrook,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Westfield, NJ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Westport, 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 Palm Beach,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Naples,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Sarasota, FL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c</w:t>
      </w:r>
      <w:r>
        <w:rPr>
          <w:rFonts w:ascii="Times New Roman" w:cs="Times New Roman" w:eastAsia="Times New Roman" w:hAnsi="Times New Roman"/>
          <w:sz w:val="15"/>
          <w:szCs w:val="15"/>
          <w:color w:val="auto"/>
        </w:rPr>
        <w:t>L</w:t>
      </w:r>
      <w:r>
        <w:rPr>
          <w:rFonts w:ascii="Times New Roman" w:cs="Times New Roman" w:eastAsia="Times New Roman" w:hAnsi="Times New Roman"/>
          <w:sz w:val="10"/>
          <w:szCs w:val="10"/>
          <w:color w:val="auto"/>
        </w:rPr>
        <w:t>aughlin</w:t>
      </w:r>
      <w:r>
        <w:rPr>
          <w:rFonts w:ascii="Times New Roman" w:cs="Times New Roman" w:eastAsia="Times New Roman" w:hAnsi="Times New Roman"/>
          <w:sz w:val="15"/>
          <w:szCs w:val="15"/>
          <w:color w:val="auto"/>
        </w:rPr>
        <w:t xml:space="preserve"> &amp; S</w:t>
      </w:r>
      <w:r>
        <w:rPr>
          <w:rFonts w:ascii="Times New Roman" w:cs="Times New Roman" w:eastAsia="Times New Roman" w:hAnsi="Times New Roman"/>
          <w:sz w:val="10"/>
          <w:szCs w:val="10"/>
          <w:color w:val="auto"/>
        </w:rPr>
        <w:t>tern</w:t>
      </w:r>
      <w:r>
        <w:rPr>
          <w:rFonts w:ascii="Times New Roman" w:cs="Times New Roman" w:eastAsia="Times New Roman" w:hAnsi="Times New Roman"/>
          <w:sz w:val="15"/>
          <w:szCs w:val="15"/>
          <w:color w:val="auto"/>
        </w:rPr>
        <w:t>, LLP</w:t>
      </w:r>
    </w:p>
    <w:p>
      <w:pPr>
        <w:spacing w:after="0" w:line="194"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We are members of the Bar of the State of New York. We do not hold ourselves out as being conversant with, or expressing any opinion with respect to, the laws of any jurisdiction other than the laws of the State of New York and the corporate laws of the State of Nevada. Accordingly, the opinions expressed herein are expressly limited to the laws of the State of New York and the corporate laws of the State of Nevada. Our opinion is based on these laws as in effect on the date hereof. We express no opinion as to whether the laws of any other jurisdiction are applicable to the subject matter hereof. We are not rendering any opinion as to compliance with any federal or state law, rule or regulation relating to securities, or to the sale or issuance thereof.</w:t>
      </w:r>
    </w:p>
    <w:p>
      <w:pPr>
        <w:spacing w:after="0" w:line="15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hereby consent to the use of this opinion as Exhibit 5.1 to the Registration Statement and further consent to the use of our name wherever appearing in the Registration Statement. In giving such consent, we do not hereby admit that we are within the category of persons whose consent is required under Section 7 of the Securities Act of 1933, as amended, or the rules and regulations thereunder.</w:t>
      </w:r>
    </w:p>
    <w:p>
      <w:pPr>
        <w:spacing w:after="0" w:line="146" w:lineRule="exact"/>
        <w:rPr>
          <w:sz w:val="20"/>
          <w:szCs w:val="20"/>
          <w:color w:val="auto"/>
        </w:rPr>
      </w:pPr>
    </w:p>
    <w:p>
      <w:pPr>
        <w:jc w:val="both"/>
        <w:ind w:firstLine="549"/>
        <w:spacing w:after="0" w:line="261" w:lineRule="auto"/>
        <w:rPr>
          <w:sz w:val="20"/>
          <w:szCs w:val="20"/>
          <w:color w:val="auto"/>
        </w:rPr>
      </w:pPr>
      <w:r>
        <w:rPr>
          <w:rFonts w:ascii="Times New Roman" w:cs="Times New Roman" w:eastAsia="Times New Roman" w:hAnsi="Times New Roman"/>
          <w:sz w:val="15"/>
          <w:szCs w:val="15"/>
          <w:color w:val="auto"/>
        </w:rPr>
        <w:t>We are members of the Bar of New York and do not express any opinion as to matters governed by any laws other than the internal laws of the State of New York, and the applicable federal laws of the United States, as each is in effect and in force as of the date of this opinion. However, for the limited purposes of our opinions set forth above, we are generally familiar with the General Company Law of the State of Nevada and have made such inquiries as we consider necessary to render this opinion with respect to a Nevada corporation. This opinion is limited to the Nevada Revised Statutes and all applicable provisions of reported judicial decisions interpreting these laws. We express no other opinion concerning any matters respecting or affected by any laws other than laws that a lawyer in New York exercising customary professional diligence would reasonably recognize as being directly applicable to the transactions contemplated by the Securities Purchase Agreement.</w:t>
      </w:r>
    </w:p>
    <w:p>
      <w:pPr>
        <w:spacing w:after="0" w:line="157" w:lineRule="exact"/>
        <w:rPr>
          <w:sz w:val="20"/>
          <w:szCs w:val="20"/>
          <w:color w:val="auto"/>
        </w:rPr>
      </w:pPr>
    </w:p>
    <w:p>
      <w:pPr>
        <w:jc w:val="both"/>
        <w:ind w:right="20" w:firstLine="549"/>
        <w:spacing w:after="0" w:line="266" w:lineRule="auto"/>
        <w:rPr>
          <w:sz w:val="20"/>
          <w:szCs w:val="20"/>
          <w:color w:val="auto"/>
        </w:rPr>
      </w:pPr>
      <w:r>
        <w:rPr>
          <w:rFonts w:ascii="Times New Roman" w:cs="Times New Roman" w:eastAsia="Times New Roman" w:hAnsi="Times New Roman"/>
          <w:sz w:val="15"/>
          <w:szCs w:val="15"/>
          <w:color w:val="auto"/>
        </w:rPr>
        <w:t>This opinion is intended solely for use in connection with the issuance and sale of the Securities pursuant to the Registration Statement and is not to be relied upon for any other purpose or delivered to or relied upon by any other person without our prior written consent. This opinion is rendered as of the date hereof and based solely on our understanding of facts in existence as of such date after the examination described in this opinion. We assume no obligation to advise you of any fact, circumstance, event or change in the law or the facts that may hereafter be brought to our attention whether or not such occurrence would affect or modify the opinions expressed herein.</w:t>
      </w:r>
    </w:p>
    <w:p>
      <w:pPr>
        <w:spacing w:after="0" w:line="15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u w:val="single" w:color="auto"/>
          <w:color w:val="auto"/>
        </w:rPr>
        <w:t>/s/ McLaughlin &amp; Stern LLP</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McLaughlin &amp; Stern LLP</w:t>
      </w:r>
    </w:p>
    <w:p>
      <w:pPr>
        <w:spacing w:after="0" w:line="158" w:lineRule="exact"/>
        <w:rPr>
          <w:sz w:val="20"/>
          <w:szCs w:val="20"/>
          <w:color w:val="auto"/>
        </w:rPr>
      </w:pPr>
    </w:p>
    <w:p>
      <w:pPr>
        <w:jc w:val="center"/>
        <w:ind w:right="20"/>
        <w:spacing w:after="0" w:line="173" w:lineRule="exact"/>
        <w:rPr>
          <w:sz w:val="20"/>
          <w:szCs w:val="20"/>
          <w:color w:val="auto"/>
        </w:rPr>
      </w:pPr>
      <w:r>
        <w:rPr>
          <w:rFonts w:ascii="Times New Roman" w:cs="Times New Roman" w:eastAsia="Times New Roman" w:hAnsi="Times New Roman"/>
          <w:sz w:val="15"/>
          <w:szCs w:val="15"/>
          <w:color w:val="auto"/>
        </w:rPr>
        <w:t xml:space="preserve">New York,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Garden City,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Millbrook, 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Westfield, NJ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Westport, 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West Palm Beach,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Naples, FL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Sarasota, FL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 on Form S-3 of GD Culture Group Limited (the “Company”) of our report dated March 18, 2025, relating to the consolidated balance sheets of the Company and its subsidiaries as of December 31, 2024 and 2023 and the related consolidated statements of operations and comprehensive loss, changes in shareholders’ equity, and cash flows for each of the two years in the period ended December 31, 2024, and the related notes, included in GD Culture Group Limited’s Annual Report on Form 10-K, filed with SEC on March 18,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also consent to the reference of HTL International, LLC, as an independent registered public accounting firm, as expert in matters of accounting and auditing.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HTL International,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Houston, Texas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23, 2026</w:t>
      </w:r>
    </w:p>
    <w:p>
      <w:pPr>
        <w:sectPr>
          <w:pgSz w:w="11900" w:h="16838" w:orient="portrait"/>
          <w:cols w:equalWidth="0" w:num="1">
            <w:col w:w="11260"/>
          </w:cols>
          <w:pgMar w:left="320" w:top="121"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5"/>
          <w:szCs w:val="15"/>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2175510</wp:posOffset>
            </wp:positionH>
            <wp:positionV relativeFrom="paragraph">
              <wp:posOffset>134620</wp:posOffset>
            </wp:positionV>
            <wp:extent cx="2791460" cy="770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2791460" cy="77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We are a qualified law firm and lawyers in the People’s Republic of China (the “PRC”) and we have been engaged by GD Culture Group Limited, a company incorporated in Nevada (the “Company”), to advise on certain legal matters related to the PRC laws and regulations.</w:t>
      </w:r>
    </w:p>
    <w:p>
      <w:pPr>
        <w:spacing w:after="0" w:line="13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auto"/>
        </w:rPr>
        <w:t>We hereby consent to the use of this consent as an exhibit to the Registration Statement on Form S-3, as amended (the “Registration Statement”) to be filed with the U.S. Securities and Exchange Commission. We further consent to the use of our name and to all references made to us in the Registration Statement and in the prospectus forming a part thereof.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 </w:t>
      </w:r>
      <w:r>
        <w:rPr>
          <w:rFonts w:ascii="Times New Roman" w:cs="Times New Roman" w:eastAsia="Times New Roman" w:hAnsi="Times New Roman"/>
          <w:sz w:val="15"/>
          <w:szCs w:val="15"/>
          <w:i w:val="1"/>
          <w:iCs w:val="1"/>
          <w:color w:val="auto"/>
        </w:rPr>
        <w:t>Jiangsu Junjin Law firm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Jiangsu Junjin Law firm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22, 2026</w:t>
      </w:r>
    </w:p>
    <w:p>
      <w:pPr>
        <w:sectPr>
          <w:pgSz w:w="11900" w:h="16838" w:orient="portrait"/>
          <w:cols w:equalWidth="0" w:num="1">
            <w:col w:w="11260"/>
          </w:cols>
          <w:pgMar w:left="320" w:top="121" w:right="319" w:bottom="1440" w:gutter="0" w:footer="0" w:header="0"/>
        </w:sectPr>
      </w:pPr>
    </w:p>
    <w:bookmarkStart w:id="167" w:name="page168"/>
    <w:bookmarkEnd w:id="167"/>
    <w:p>
      <w:pPr>
        <w:spacing w:after="0" w:line="16"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GD Culture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532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154940</wp:posOffset>
            </wp:positionV>
            <wp:extent cx="71532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Fee</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Previously</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Paid in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Connection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Fee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Carry</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with</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Unsold</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Maximum</w:t>
            </w:r>
          </w:p>
        </w:tc>
        <w:tc>
          <w:tcPr>
            <w:tcW w:w="4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52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20" w:type="dxa"/>
            <w:vAlign w:val="bottom"/>
            <w:gridSpan w:val="4"/>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Forward Forward</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Initial</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26"/>
        </w:trPr>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40" w:type="dxa"/>
            <w:vAlign w:val="bottom"/>
          </w:tcPr>
          <w:p>
            <w:pPr>
              <w:spacing w:after="0"/>
              <w:rPr>
                <w:sz w:val="10"/>
                <w:szCs w:val="10"/>
                <w:color w:val="auto"/>
              </w:rPr>
            </w:pPr>
          </w:p>
        </w:tc>
        <w:tc>
          <w:tcPr>
            <w:tcW w:w="184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4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40" w:type="dxa"/>
            <w:vAlign w:val="bottom"/>
            <w:vMerge w:val="restart"/>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620" w:type="dxa"/>
            <w:vAlign w:val="bottom"/>
            <w:gridSpan w:val="2"/>
            <w:vMerge w:val="continue"/>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40" w:type="dxa"/>
            <w:vAlign w:val="bottom"/>
          </w:tcPr>
          <w:p>
            <w:pPr>
              <w:spacing w:after="0"/>
              <w:rPr>
                <w:sz w:val="10"/>
                <w:szCs w:val="10"/>
                <w:color w:val="auto"/>
              </w:rPr>
            </w:pPr>
          </w:p>
        </w:tc>
        <w:tc>
          <w:tcPr>
            <w:tcW w:w="10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Aggregate Offering</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Registration</w:t>
            </w:r>
          </w:p>
        </w:tc>
        <w:tc>
          <w:tcPr>
            <w:tcW w:w="52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Form</w:t>
            </w:r>
          </w:p>
        </w:tc>
        <w:tc>
          <w:tcPr>
            <w:tcW w:w="5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File</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Class Title</w:t>
            </w:r>
          </w:p>
        </w:tc>
        <w:tc>
          <w:tcPr>
            <w:tcW w:w="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4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Fee</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Newly Registered Securities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gridSpan w:val="2"/>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Debt</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(4)</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Unallocated (Universal) Shelf</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40" w:type="dxa"/>
            <w:vAlign w:val="bottom"/>
          </w:tcPr>
          <w:p>
            <w:pPr>
              <w:spacing w:after="0"/>
              <w:rPr>
                <w:sz w:val="17"/>
                <w:szCs w:val="17"/>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400,000,000.00 0.0001381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69,050.00</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Carry Forward 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(9)</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Debt</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(10) 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(11) 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Rights</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(12) 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w:t>
            </w: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(13) 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08/20/2024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Unallocated (Universal) Shelf</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(14) 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$100,000,000.00</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08/20/2024 $14,760.00</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279141</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9"/>
          </w:tcPr>
          <w:p>
            <w:pPr>
              <w:ind w:left="300"/>
              <w:spacing w:after="0"/>
              <w:rPr>
                <w:sz w:val="20"/>
                <w:szCs w:val="20"/>
                <w:color w:val="auto"/>
              </w:rPr>
            </w:pPr>
            <w:r>
              <w:rPr>
                <w:rFonts w:ascii="Times New Roman" w:cs="Times New Roman" w:eastAsia="Times New Roman" w:hAnsi="Times New Roman"/>
                <w:sz w:val="15"/>
                <w:szCs w:val="15"/>
                <w:color w:val="auto"/>
              </w:rPr>
              <w:t>Total Offering Amounts: $500,000,000.00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69,050.00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Total Fee Offsets:</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14,760.</w:t>
            </w:r>
            <w:r>
              <w:rPr>
                <w:rFonts w:ascii="Times New Roman" w:cs="Times New Roman" w:eastAsia="Times New Roman" w:hAnsi="Times New Roman"/>
                <w:sz w:val="15"/>
                <w:szCs w:val="15"/>
                <w:u w:val="single" w:color="auto"/>
                <w:color w:val="auto"/>
              </w:rPr>
              <w:t>00</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Net Fee Due:</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54,290.00</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71" w:lineRule="exact"/>
        <w:rPr>
          <w:sz w:val="20"/>
          <w:szCs w:val="20"/>
          <w:color w:val="auto"/>
        </w:rPr>
      </w:pPr>
    </w:p>
    <w:p>
      <w:pPr>
        <w:jc w:val="both"/>
        <w:ind w:left="280" w:right="100" w:hanging="237"/>
        <w:spacing w:after="0" w:line="263" w:lineRule="auto"/>
        <w:tabs>
          <w:tab w:leader="none" w:pos="2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80" w:right="80"/>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80" w:right="8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80" w:right="100" w:hanging="237"/>
        <w:spacing w:after="0" w:line="266" w:lineRule="auto"/>
        <w:tabs>
          <w:tab w:leader="none" w:pos="2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w:t>
      </w:r>
    </w:p>
    <w:p>
      <w:pPr>
        <w:sectPr>
          <w:pgSz w:w="11900" w:h="16854" w:orient="portrait"/>
          <w:cols w:equalWidth="0" w:num="1">
            <w:col w:w="11340"/>
          </w:cols>
          <w:pgMar w:left="320" w:top="114" w:right="239" w:bottom="0" w:gutter="0" w:footer="0" w:header="0"/>
        </w:sectPr>
      </w:pPr>
    </w:p>
    <w:bookmarkStart w:id="168" w:name="page169"/>
    <w:bookmarkEnd w:id="168"/>
    <w:p>
      <w:pPr>
        <w:ind w:left="237"/>
        <w:spacing w:after="0"/>
        <w:rPr>
          <w:sz w:val="20"/>
          <w:szCs w:val="20"/>
          <w:color w:val="auto"/>
        </w:rPr>
      </w:pPr>
      <w:r>
        <w:rPr>
          <w:rFonts w:ascii="Times New Roman" w:cs="Times New Roman" w:eastAsia="Times New Roman" w:hAnsi="Times New Roman"/>
          <w:sz w:val="15"/>
          <w:szCs w:val="15"/>
          <w:color w:val="auto"/>
        </w:rPr>
        <w:t>issuable upon exercise, conversion, or exchange of other registered securities.</w:t>
      </w:r>
    </w:p>
    <w:p>
      <w:pPr>
        <w:spacing w:after="0" w:line="194" w:lineRule="exact"/>
        <w:rPr>
          <w:sz w:val="20"/>
          <w:szCs w:val="20"/>
          <w:color w:val="auto"/>
        </w:rPr>
      </w:pPr>
    </w:p>
    <w:p>
      <w:pPr>
        <w:jc w:val="both"/>
        <w:ind w:left="237"/>
        <w:spacing w:after="0" w:line="272" w:lineRule="auto"/>
        <w:rPr>
          <w:sz w:val="20"/>
          <w:szCs w:val="20"/>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sz w:val="20"/>
          <w:szCs w:val="20"/>
          <w:color w:val="auto"/>
        </w:rPr>
      </w:pPr>
    </w:p>
    <w:p>
      <w:pPr>
        <w:jc w:val="both"/>
        <w:ind w:left="237"/>
        <w:spacing w:after="0" w:line="257" w:lineRule="auto"/>
        <w:rPr>
          <w:sz w:val="20"/>
          <w:szCs w:val="20"/>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2" w:lineRule="exact"/>
        <w:rPr>
          <w:sz w:val="20"/>
          <w:szCs w:val="20"/>
          <w:color w:val="auto"/>
        </w:rPr>
      </w:pPr>
    </w:p>
    <w:p>
      <w:pPr>
        <w:jc w:val="both"/>
        <w:ind w:left="237" w:right="20" w:hanging="237"/>
        <w:spacing w:after="0" w:line="263" w:lineRule="auto"/>
        <w:tabs>
          <w:tab w:leader="none" w:pos="237"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37" w:right="20" w:hanging="237"/>
        <w:spacing w:after="0" w:line="263" w:lineRule="auto"/>
        <w:tabs>
          <w:tab w:leader="none" w:pos="237"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37" w:right="20" w:hanging="237"/>
        <w:spacing w:after="0" w:line="263" w:lineRule="auto"/>
        <w:tabs>
          <w:tab w:leader="none" w:pos="237"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ectPr>
          <w:pgSz w:w="11900" w:h="16838" w:orient="portrait"/>
          <w:cols w:equalWidth="0" w:num="1">
            <w:col w:w="11217"/>
          </w:cols>
          <w:pgMar w:left="363" w:top="125" w:right="319" w:bottom="0" w:gutter="0" w:footer="0" w:header="0"/>
        </w:sectPr>
      </w:pPr>
    </w:p>
    <w:bookmarkStart w:id="169" w:name="page170"/>
    <w:bookmarkEnd w:id="169"/>
    <w:p>
      <w:pPr>
        <w:jc w:val="both"/>
        <w:ind w:left="237" w:right="20" w:hanging="237"/>
        <w:spacing w:after="0" w:line="263" w:lineRule="auto"/>
        <w:tabs>
          <w:tab w:leader="none" w:pos="2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37" w:right="20" w:hanging="237"/>
        <w:spacing w:after="0" w:line="263" w:lineRule="auto"/>
        <w:tabs>
          <w:tab w:leader="none" w:pos="2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37" w:right="20" w:hanging="237"/>
        <w:spacing w:after="0" w:line="263" w:lineRule="auto"/>
        <w:tabs>
          <w:tab w:leader="none" w:pos="2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237" w:right="20" w:hanging="237"/>
        <w:spacing w:after="0" w:line="263" w:lineRule="auto"/>
        <w:tabs>
          <w:tab w:leader="none" w:pos="237"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237"/>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237"/>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w:t>
      </w:r>
    </w:p>
    <w:p>
      <w:pPr>
        <w:sectPr>
          <w:pgSz w:w="11900" w:h="16838" w:orient="portrait"/>
          <w:cols w:equalWidth="0" w:num="1">
            <w:col w:w="11217"/>
          </w:cols>
          <w:pgMar w:left="363" w:top="125" w:right="319" w:bottom="0" w:gutter="0" w:footer="0" w:header="0"/>
        </w:sectPr>
      </w:pPr>
    </w:p>
    <w:bookmarkStart w:id="170" w:name="page171"/>
    <w:bookmarkEnd w:id="170"/>
    <w:p>
      <w:pPr>
        <w:spacing w:after="0" w:line="2" w:lineRule="exact"/>
        <w:rPr>
          <w:sz w:val="20"/>
          <w:szCs w:val="20"/>
          <w:color w:val="auto"/>
        </w:rPr>
      </w:pPr>
    </w:p>
    <w:p>
      <w:pPr>
        <w:jc w:val="both"/>
        <w:ind w:left="285"/>
        <w:spacing w:after="0" w:line="266" w:lineRule="auto"/>
        <w:rPr>
          <w:sz w:val="20"/>
          <w:szCs w:val="20"/>
          <w:color w:val="auto"/>
        </w:rPr>
      </w:pPr>
      <w:r>
        <w:rPr>
          <w:rFonts w:ascii="Times New Roman" w:cs="Times New Roman" w:eastAsia="Times New Roman" w:hAnsi="Times New Roman"/>
          <w:sz w:val="15"/>
          <w:szCs w:val="15"/>
          <w:color w:val="auto"/>
        </w:rPr>
        <w:t>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60" w:lineRule="exact"/>
        <w:rPr>
          <w:sz w:val="20"/>
          <w:szCs w:val="20"/>
          <w:color w:val="auto"/>
        </w:rPr>
      </w:pPr>
    </w:p>
    <w:p>
      <w:pPr>
        <w:jc w:val="both"/>
        <w:ind w:left="325" w:right="20" w:hanging="319"/>
        <w:spacing w:after="0" w:line="263" w:lineRule="auto"/>
        <w:tabs>
          <w:tab w:leader="none" w:pos="32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325"/>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 (iii)(b)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325"/>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325" w:right="20" w:hanging="325"/>
        <w:spacing w:after="0" w:line="263" w:lineRule="auto"/>
        <w:tabs>
          <w:tab w:leader="none" w:pos="32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325"/>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325"/>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325" w:right="20" w:hanging="319"/>
        <w:spacing w:after="0" w:line="263" w:lineRule="auto"/>
        <w:tabs>
          <w:tab w:leader="none" w:pos="32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325"/>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 (iii)(b)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325"/>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71" w:lineRule="exact"/>
        <w:rPr>
          <w:rFonts w:ascii="Times New Roman" w:cs="Times New Roman" w:eastAsia="Times New Roman" w:hAnsi="Times New Roman"/>
          <w:sz w:val="15"/>
          <w:szCs w:val="15"/>
          <w:color w:val="auto"/>
        </w:rPr>
      </w:pPr>
    </w:p>
    <w:p>
      <w:pPr>
        <w:jc w:val="both"/>
        <w:ind w:left="325" w:right="20" w:hanging="319"/>
        <w:spacing w:after="0" w:line="263" w:lineRule="auto"/>
        <w:tabs>
          <w:tab w:leader="none" w:pos="32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325"/>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 (iii)(b)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325"/>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w:t>
      </w:r>
    </w:p>
    <w:p>
      <w:pPr>
        <w:sectPr>
          <w:pgSz w:w="11900" w:h="16840" w:orient="portrait"/>
          <w:cols w:equalWidth="0" w:num="1">
            <w:col w:w="11265"/>
          </w:cols>
          <w:pgMar w:left="315" w:top="125" w:right="319" w:bottom="0" w:gutter="0" w:footer="0" w:header="0"/>
        </w:sectPr>
      </w:pPr>
    </w:p>
    <w:bookmarkStart w:id="171" w:name="page172"/>
    <w:bookmarkEnd w:id="171"/>
    <w:p>
      <w:pPr>
        <w:jc w:val="both"/>
        <w:ind w:left="319"/>
        <w:spacing w:after="0" w:line="259" w:lineRule="auto"/>
        <w:rPr>
          <w:sz w:val="20"/>
          <w:szCs w:val="20"/>
          <w:color w:val="auto"/>
        </w:rPr>
      </w:pPr>
      <w:r>
        <w:rPr>
          <w:rFonts w:ascii="Times New Roman" w:cs="Times New Roman" w:eastAsia="Times New Roman" w:hAnsi="Times New Roman"/>
          <w:sz w:val="15"/>
          <w:szCs w:val="15"/>
          <w:color w:val="auto"/>
        </w:rPr>
        <w:t>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68" w:lineRule="exact"/>
        <w:rPr>
          <w:sz w:val="20"/>
          <w:szCs w:val="20"/>
          <w:color w:val="auto"/>
        </w:rPr>
      </w:pPr>
    </w:p>
    <w:p>
      <w:pPr>
        <w:jc w:val="both"/>
        <w:ind w:left="319" w:right="20" w:hanging="319"/>
        <w:spacing w:after="0" w:line="263" w:lineRule="auto"/>
        <w:tabs>
          <w:tab w:leader="none" w:pos="319"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is registering an indeterminate number of securities for offer and sale from time to time at indeterminate prices, which shall have an aggregate offering price not to exceed $500,000,000. In addition, pursuant to Rule 416(a) under the Securities Act of 1933, as amended, this registration statement shall be deemed to cover any additional number of securities that may be issued from time to time to prevent dilution as a result of a distribution, split, combination, or similar transaction. Securities registered hereunder may be sold separately, or together with other securities registered hereunder. Includes consideration to be received by the registrant, if applicable, for registered securities that are issuable upon exercise, conversion, or exchange of other registered securities.</w:t>
      </w:r>
    </w:p>
    <w:p>
      <w:pPr>
        <w:spacing w:after="0" w:line="153" w:lineRule="exact"/>
        <w:rPr>
          <w:rFonts w:ascii="Times New Roman" w:cs="Times New Roman" w:eastAsia="Times New Roman" w:hAnsi="Times New Roman"/>
          <w:sz w:val="15"/>
          <w:szCs w:val="15"/>
          <w:color w:val="auto"/>
        </w:rPr>
      </w:pPr>
    </w:p>
    <w:p>
      <w:pPr>
        <w:jc w:val="both"/>
        <w:ind w:left="319"/>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Instructions to the Calculation of Filing Fee Tables and Related Disclosure (2)(A) (iii)(b) of Form S-3 under the Securities Act.</w:t>
      </w:r>
    </w:p>
    <w:p>
      <w:pPr>
        <w:spacing w:after="0" w:line="146" w:lineRule="exact"/>
        <w:rPr>
          <w:rFonts w:ascii="Times New Roman" w:cs="Times New Roman" w:eastAsia="Times New Roman" w:hAnsi="Times New Roman"/>
          <w:sz w:val="15"/>
          <w:szCs w:val="15"/>
          <w:color w:val="auto"/>
        </w:rPr>
      </w:pPr>
    </w:p>
    <w:p>
      <w:pPr>
        <w:jc w:val="both"/>
        <w:ind w:left="319"/>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the purpose of computing the amount of the registration fee pursuant to Rule 457(o) under the Securities Act. 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and Rule 457(p),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p>
      <w:pPr>
        <w:spacing w:after="0" w:line="163" w:lineRule="exact"/>
        <w:rPr>
          <w:rFonts w:ascii="Times New Roman" w:cs="Times New Roman" w:eastAsia="Times New Roman" w:hAnsi="Times New Roman"/>
          <w:sz w:val="15"/>
          <w:szCs w:val="15"/>
          <w:color w:val="auto"/>
        </w:rPr>
      </w:pPr>
    </w:p>
    <w:p>
      <w:pPr>
        <w:jc w:val="both"/>
        <w:ind w:left="319"/>
        <w:spacing w:after="0" w:line="25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 previously paid registration fees in the aggregate of $14,760 with respect to its Registration Statement on Form S-3, as amended (File No. 333-279141) (the “Prior Registration Statement”). Pursuant to Rule 415(a)(6) (“Rule 415(a)(6)”) promulgated under the Securities Act of 1933, as amended (the “Securities Act”), the securities registered pursuant to this Registration Statement on Form S-3 (this “Registration Statement”) include $100,000,000 of securities previously registered on the Prior Registration Statement which remain unsold (the “Unsold Securities”). Pursuant to Rule 415(a)(6), the registration fee of $14,760 associated with the offering of the Unsold Securities (based on the filing fee rate in effect at the time of the filing of the Prior Registration Statement) is hereby carried forward to be applied to the Unsold Securities registered hereunder, and no additional filing fee is due with respect to the Unsold Securities in connection with the filing of this Registration Statement. The registration fee previously paid by the registrant relating to the Unsold Securities included on this registration statement will continue to be applied to such Unsold Securities. During the grace period afforded by Rule 415(a)(5) under the Securities Act, the Registrant may continue to offer and sell under the Prior Registration Statement the Unsold Securities being registered hereunder. To the extent that, after the filing date hereof and prior to the effectiveness of this Registration Statement, the Registrant sells any such Unsold Securities pursuant to the Prior Registration Statement, the Registrant will identify in a pre-effective amendment to this Registration Statement the updated amount of Unsold Securities from the Prior Registration Statement to be included in this Registration Statement pursuant to Rule 415(a)(6). Pursuant to Rule 415(a)(6), the offering of the Unsold Securities under the Prior Registration Statement will be deemed terminated as of the date of effectiveness of this Registration Statement.</w:t>
      </w:r>
    </w:p>
    <w:sectPr>
      <w:pgSz w:w="11900" w:h="16838" w:orient="portrait"/>
      <w:cols w:equalWidth="0" w:num="1">
        <w:col w:w="11259"/>
      </w:cols>
      <w:pgMar w:left="321"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1."/>
      <w:numFmt w:val="decimal"/>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1."/>
      <w:numFmt w:val="decimal"/>
      <w:start w:val="2"/>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1)"/>
      <w:numFmt w:val="lowerRoman"/>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1"/>
      <w:numFmt w:val="decimal"/>
      <w:start w:val="107"/>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46">
    <w:nsid w:val="68EBC55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7">
    <w:nsid w:val="2DF6D64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lowerLetter"/>
      <w:start w:val="6"/>
    </w:lvl>
  </w:abstractNum>
  <w:abstractNum w:abstractNumId="52">
    <w:nsid w:val="CC1016F"/>
    <w:multiLevelType w:val="hybridMultilevel"/>
    <w:lvl w:ilvl="0">
      <w:lvlJc w:val="left"/>
      <w:lvlText w:val="(%1)"/>
      <w:numFmt w:val="lowerLetter"/>
      <w:start w:val="1"/>
    </w:lvl>
    <w:lvl w:ilvl="1">
      <w:lvlJc w:val="left"/>
      <w:lvlText w:val="(%2)"/>
      <w:numFmt w:val="lowerRoman"/>
      <w:start w:val="2"/>
    </w:lvl>
  </w:abstractNum>
  <w:abstractNum w:abstractNumId="53">
    <w:nsid w:val="43F18422"/>
    <w:multiLevelType w:val="hybridMultilevel"/>
    <w:lvl w:ilvl="0">
      <w:lvlJc w:val="left"/>
      <w:lvlText w:val="(%1)"/>
      <w:numFmt w:val="lowerRoman"/>
      <w:start w:val="4"/>
    </w:lvl>
  </w:abstractNum>
  <w:abstractNum w:abstractNumId="54">
    <w:nsid w:val="60EF0119"/>
    <w:multiLevelType w:val="hybridMultilevel"/>
    <w:lvl w:ilvl="0">
      <w:lvlJc w:val="left"/>
      <w:lvlText w:val="(%1)"/>
      <w:numFmt w:val="lowerLetter"/>
      <w:start w:val="4"/>
    </w:lvl>
  </w:abstractNum>
  <w:abstractNum w:abstractNumId="55">
    <w:nsid w:val="26F324BA"/>
    <w:multiLevelType w:val="hybridMultilevel"/>
    <w:lvl w:ilvl="0">
      <w:lvlJc w:val="left"/>
      <w:lvlText w:val="(%1)"/>
      <w:numFmt w:val="lowerLetter"/>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2"/>
    </w:lvl>
    <w:lvl w:ilvl="1">
      <w:lvlJc w:val="left"/>
      <w:lvlText w:val="(%2)"/>
      <w:numFmt w:val="lowerRoman"/>
      <w:start w:val="1"/>
    </w:lvl>
  </w:abstractNum>
  <w:abstractNum w:abstractNumId="60">
    <w:nsid w:val="50801EE1"/>
    <w:multiLevelType w:val="hybridMultilevel"/>
    <w:lvl w:ilvl="0">
      <w:lvlJc w:val="left"/>
      <w:lvlText w:val="(%1)"/>
      <w:numFmt w:val="lowerRoman"/>
      <w:start w:val="1"/>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lowerLetter"/>
      <w:start w:val="1"/>
    </w:lvl>
  </w:abstractNum>
  <w:abstractNum w:abstractNumId="63">
    <w:nsid w:val="6AA78F7F"/>
    <w:multiLevelType w:val="hybridMultilevel"/>
    <w:lvl w:ilvl="0">
      <w:lvlJc w:val="left"/>
      <w:lvlText w:val="(%1)"/>
      <w:numFmt w:val="lowerLetter"/>
      <w:start w:val="1"/>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lowerLetter"/>
      <w:start w:val="1"/>
    </w:lvl>
    <w:lvl w:ilvl="1">
      <w:lvlJc w:val="left"/>
      <w:lvlText w:val="(%2)"/>
      <w:numFmt w:val="lowerRoman"/>
      <w:start w:val="1"/>
    </w:lvl>
  </w:abstractNum>
  <w:abstractNum w:abstractNumId="66">
    <w:nsid w:val="6A5F7029"/>
    <w:multiLevelType w:val="hybridMultilevel"/>
    <w:lvl w:ilvl="0">
      <w:lvlJc w:val="left"/>
      <w:lvlText w:val="(%1)"/>
      <w:numFmt w:val="lowerLetter"/>
      <w:start w:val="3"/>
    </w:lvl>
    <w:lvl w:ilvl="1">
      <w:lvlJc w:val="left"/>
      <w:lvlText w:val="(%2)"/>
      <w:numFmt w:val="lowerRoman"/>
      <w:start w:val="1"/>
    </w:lvl>
  </w:abstractNum>
  <w:abstractNum w:abstractNumId="67">
    <w:nsid w:val="7D5E18F8"/>
    <w:multiLevelType w:val="hybridMultilevel"/>
    <w:lvl w:ilvl="0">
      <w:lvlJc w:val="left"/>
      <w:lvlText w:val="(%1)"/>
      <w:numFmt w:val="lowerLetter"/>
      <w:start w:val="1"/>
    </w:lvl>
  </w:abstractNum>
  <w:abstractNum w:abstractNumId="68">
    <w:nsid w:val="5F3534A4"/>
    <w:multiLevelType w:val="hybridMultilevel"/>
    <w:lvl w:ilvl="0">
      <w:lvlJc w:val="left"/>
      <w:lvlText w:val="(%1)"/>
      <w:numFmt w:val="lowerLetter"/>
      <w:start w:val="1"/>
    </w:lvl>
  </w:abstractNum>
  <w:abstractNum w:abstractNumId="69">
    <w:nsid w:val="73A1821B"/>
    <w:multiLevelType w:val="hybridMultilevel"/>
    <w:lvl w:ilvl="0">
      <w:lvlJc w:val="left"/>
      <w:lvlText w:val="(%1)"/>
      <w:numFmt w:val="lowerLetter"/>
      <w:start w:val="1"/>
    </w:lvl>
    <w:lvl w:ilvl="1">
      <w:lvlJc w:val="left"/>
      <w:lvlText w:val="(%2)"/>
      <w:numFmt w:val="lowerRoman"/>
      <w:start w:val="1"/>
    </w:lvl>
  </w:abstractNum>
  <w:abstractNum w:abstractNumId="70">
    <w:nsid w:val="7DE67713"/>
    <w:multiLevelType w:val="hybridMultilevel"/>
    <w:lvl w:ilvl="0">
      <w:lvlJc w:val="left"/>
      <w:lvlText w:val="%1"/>
      <w:numFmt w:val="lowerLetter"/>
      <w:start w:val="1"/>
    </w:lvl>
    <w:lvl w:ilvl="1">
      <w:lvlJc w:val="left"/>
      <w:lvlText w:val="(%2)"/>
      <w:numFmt w:val="decimal"/>
      <w:start w:val="3"/>
    </w:lvl>
  </w:abstractNum>
  <w:abstractNum w:abstractNumId="71">
    <w:nsid w:val="555C55B5"/>
    <w:multiLevelType w:val="hybridMultilevel"/>
    <w:lvl w:ilvl="0">
      <w:lvlJc w:val="left"/>
      <w:lvlText w:val="(%1)"/>
      <w:numFmt w:val="lowerLetter"/>
      <w:start w:val="2"/>
    </w:lvl>
    <w:lvl w:ilvl="1">
      <w:lvlJc w:val="left"/>
      <w:lvlText w:val="%2"/>
      <w:numFmt w:val="decimal"/>
      <w:start w:val="1"/>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1"/>
    </w:lvl>
  </w:abstractNum>
  <w:abstractNum w:abstractNumId="74">
    <w:nsid w:val="6A3DD3E8"/>
    <w:multiLevelType w:val="hybridMultilevel"/>
    <w:lvl w:ilvl="0">
      <w:lvlJc w:val="left"/>
      <w:lvlText w:val="(%1)"/>
      <w:numFmt w:val="lowerLetter"/>
      <w:start w:val="5"/>
    </w:lvl>
  </w:abstractNum>
  <w:abstractNum w:abstractNumId="75">
    <w:nsid w:val="71C91298"/>
    <w:multiLevelType w:val="hybridMultilevel"/>
    <w:lvl w:ilvl="0">
      <w:lvlJc w:val="left"/>
      <w:lvlText w:val="(%1)"/>
      <w:numFmt w:val="lowerLetter"/>
      <w:start w:val="1"/>
    </w:lvl>
  </w:abstractNum>
  <w:abstractNum w:abstractNumId="76">
    <w:nsid w:val="9DAF632"/>
    <w:multiLevelType w:val="hybridMultilevel"/>
    <w:lvl w:ilvl="0">
      <w:lvlJc w:val="left"/>
      <w:lvlText w:val="(%1)"/>
      <w:numFmt w:val="lowerLetter"/>
      <w:start w:val="2"/>
    </w:lvl>
  </w:abstractNum>
  <w:abstractNum w:abstractNumId="77">
    <w:nsid w:val="53299938"/>
    <w:multiLevelType w:val="hybridMultilevel"/>
    <w:lvl w:ilvl="0">
      <w:lvlJc w:val="left"/>
      <w:lvlText w:val="(%1)"/>
      <w:numFmt w:val="lowerLetter"/>
      <w:start w:val="4"/>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1)"/>
      <w:numFmt w:val="lowerLetter"/>
      <w:start w:val="1"/>
    </w:lvl>
  </w:abstractNum>
  <w:abstractNum w:abstractNumId="80">
    <w:nsid w:val="1D545C4D"/>
    <w:multiLevelType w:val="hybridMultilevel"/>
    <w:lvl w:ilvl="0">
      <w:lvlJc w:val="left"/>
      <w:lvlText w:val="(%1)"/>
      <w:numFmt w:val="lowerLetter"/>
      <w:start w:val="12"/>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1)"/>
      <w:numFmt w:val="lowerLetter"/>
      <w:start w:val="1"/>
    </w:lvl>
  </w:abstractNum>
  <w:abstractNum w:abstractNumId="84">
    <w:nsid w:val="1D9F6E5F"/>
    <w:multiLevelType w:val="hybridMultilevel"/>
    <w:lvl w:ilvl="0">
      <w:lvlJc w:val="left"/>
      <w:lvlText w:val="(%1)"/>
      <w:numFmt w:val="lowerLetter"/>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lowerLetter"/>
      <w:start w:val="10"/>
    </w:lvl>
  </w:abstractNum>
  <w:abstractNum w:abstractNumId="90">
    <w:nsid w:val="7C58FD05"/>
    <w:multiLevelType w:val="hybridMultilevel"/>
    <w:lvl w:ilvl="0">
      <w:lvlJc w:val="left"/>
      <w:lvlText w:val="(%1)"/>
      <w:numFmt w:val="lowerLetter"/>
      <w:start w:val="1"/>
    </w:lvl>
    <w:lvl w:ilvl="1">
      <w:lvlJc w:val="left"/>
      <w:lvlText w:val="(%2)"/>
      <w:numFmt w:val="lowerRoman"/>
      <w:start w:val="2"/>
    </w:lvl>
  </w:abstractNum>
  <w:abstractNum w:abstractNumId="91">
    <w:nsid w:val="23D86AAC"/>
    <w:multiLevelType w:val="hybridMultilevel"/>
    <w:lvl w:ilvl="0">
      <w:lvlJc w:val="left"/>
      <w:lvlText w:val="(%1)"/>
      <w:numFmt w:val="lowerRoman"/>
      <w:start w:val="4"/>
    </w:lvl>
  </w:abstractNum>
  <w:abstractNum w:abstractNumId="92">
    <w:nsid w:val="45E6D486"/>
    <w:multiLevelType w:val="hybridMultilevel"/>
    <w:lvl w:ilvl="0">
      <w:lvlJc w:val="left"/>
      <w:lvlText w:val="(%1)"/>
      <w:numFmt w:val="lowerLetter"/>
      <w:start w:val="4"/>
    </w:lvl>
  </w:abstractNum>
  <w:abstractNum w:abstractNumId="93">
    <w:nsid w:val="5C10FE21"/>
    <w:multiLevelType w:val="hybridMultilevel"/>
    <w:lvl w:ilvl="0">
      <w:lvlJc w:val="left"/>
      <w:lvlText w:val="(%1)"/>
      <w:numFmt w:val="lowerLetter"/>
      <w:start w:val="1"/>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lowerLetter"/>
      <w:start w:val="2"/>
    </w:lvl>
  </w:abstractNum>
  <w:abstractNum w:abstractNumId="97">
    <w:nsid w:val="78DF6A55"/>
    <w:multiLevelType w:val="hybridMultilevel"/>
    <w:lvl w:ilvl="0">
      <w:lvlJc w:val="left"/>
      <w:lvlText w:val="(%1)"/>
      <w:numFmt w:val="lowerLetter"/>
      <w:start w:val="6"/>
    </w:lvl>
    <w:lvl w:ilvl="1">
      <w:lvlJc w:val="left"/>
      <w:lvlText w:val="(%2)"/>
      <w:numFmt w:val="lowerRoman"/>
      <w:start w:val="1"/>
    </w:lvl>
  </w:abstractNum>
  <w:abstractNum w:abstractNumId="98">
    <w:nsid w:val="39B7AAA2"/>
    <w:multiLevelType w:val="hybridMultilevel"/>
    <w:lvl w:ilvl="0">
      <w:lvlJc w:val="left"/>
      <w:lvlText w:val="(%1)"/>
      <w:numFmt w:val="lowerRoman"/>
      <w:start w:val="1"/>
    </w:lvl>
  </w:abstractNum>
  <w:abstractNum w:abstractNumId="99">
    <w:nsid w:val="2B0D8DBE"/>
    <w:multiLevelType w:val="hybridMultilevel"/>
    <w:lvl w:ilvl="0">
      <w:lvlJc w:val="left"/>
      <w:lvlText w:val="(%1)"/>
      <w:numFmt w:val="lowerLetter"/>
      <w:start w:val="1"/>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1"/>
    </w:lvl>
    <w:lvl w:ilvl="1">
      <w:lvlJc w:val="left"/>
      <w:lvlText w:val="(%2)"/>
      <w:numFmt w:val="lowerRoman"/>
      <w:start w:val="1"/>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1)"/>
      <w:numFmt w:val="lowerLetter"/>
      <w:start w:val="1"/>
    </w:lvl>
  </w:abstractNum>
  <w:abstractNum w:abstractNumId="107">
    <w:nsid w:val="5675FF36"/>
    <w:multiLevelType w:val="hybridMultilevel"/>
    <w:lvl w:ilvl="0">
      <w:lvlJc w:val="left"/>
      <w:lvlText w:val="(%1)"/>
      <w:numFmt w:val="lowerRoman"/>
      <w:start w:val="1"/>
    </w:lvl>
  </w:abstractNum>
  <w:abstractNum w:abstractNumId="108">
    <w:nsid w:val="3DD15094"/>
    <w:multiLevelType w:val="hybridMultilevel"/>
    <w:lvl w:ilvl="0">
      <w:lvlJc w:val="left"/>
      <w:lvlText w:val="(%1)"/>
      <w:numFmt w:val="decimal"/>
      <w:start w:val="3"/>
    </w:lvl>
  </w:abstractNum>
  <w:abstractNum w:abstractNumId="109">
    <w:nsid w:val="3DB012B3"/>
    <w:multiLevelType w:val="hybridMultilevel"/>
    <w:lvl w:ilvl="0">
      <w:lvlJc w:val="left"/>
      <w:lvlText w:val="(%1)"/>
      <w:numFmt w:val="decimal"/>
      <w:start w:val="4"/>
    </w:lvl>
  </w:abstractNum>
  <w:abstractNum w:abstractNumId="110">
    <w:nsid w:val="2708C9AF"/>
    <w:multiLevelType w:val="hybridMultilevel"/>
    <w:lvl w:ilvl="0">
      <w:lvlJc w:val="left"/>
      <w:lvlText w:val="(%1)"/>
      <w:numFmt w:val="lowerLetter"/>
      <w:start w:val="2"/>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lowerLetter"/>
      <w:start w:val="5"/>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2"/>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3"/>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
      <w:numFmt w:val="bullet"/>
      <w:start w:val="1"/>
    </w:lvl>
  </w:abstractNum>
  <w:abstractNum w:abstractNumId="122">
    <w:nsid w:val="5046B5A9"/>
    <w:multiLevelType w:val="hybridMultilevel"/>
    <w:lvl w:ilvl="0">
      <w:lvlJc w:val="left"/>
      <w:lvlText w:val="["/>
      <w:numFmt w:val="bullet"/>
      <w:start w:val="1"/>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1)"/>
      <w:numFmt w:val="lowerRoman"/>
      <w:start w:val="2"/>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3"/>
    </w:lvl>
  </w:abstractNum>
  <w:abstractNum w:abstractNumId="130">
    <w:nsid w:val="20EE1348"/>
    <w:multiLevelType w:val="hybridMultilevel"/>
    <w:lvl w:ilvl="0">
      <w:lvlJc w:val="left"/>
      <w:lvlText w:val="(%1)"/>
      <w:numFmt w:val="decimal"/>
      <w:start w:val="6"/>
    </w:lvl>
  </w:abstractNum>
  <w:abstractNum w:abstractNumId="131">
    <w:nsid w:val="4427069A"/>
    <w:multiLevelType w:val="hybridMultilevel"/>
    <w:lvl w:ilvl="0">
      <w:lvlJc w:val="left"/>
      <w:lvlText w:val="(%1)"/>
      <w:numFmt w:val="decimal"/>
      <w:start w:val="10"/>
    </w:lvl>
  </w:abstractNum>
  <w:abstractNum w:abstractNumId="132">
    <w:nsid w:val="B37E80A"/>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jpeg"/><Relationship Id="rId232" Type="http://schemas.openxmlformats.org/officeDocument/2006/relationships/image" Target="media/image204.png"/><Relationship Id="rId233" Type="http://schemas.openxmlformats.org/officeDocument/2006/relationships/image" Target="media/image205.png"/><Relationship Id="rId104" Type="http://schemas.openxmlformats.org/officeDocument/2006/relationships/hyperlink" Target="http://www.sec.gov/Archives/edgar/data/1641398/000121390025024635/ea0234379-10k_gdcul.htm" TargetMode="External"/><Relationship Id="rId105" Type="http://schemas.openxmlformats.org/officeDocument/2006/relationships/hyperlink" Target="http://www.sec.gov/Archives/edgar/data/1641398/000121390025044218/ea0241474-10q_gdculture.htm" TargetMode="External"/><Relationship Id="rId106" Type="http://schemas.openxmlformats.org/officeDocument/2006/relationships/hyperlink" Target="http://www.sec.gov/Archives/edgar/data/1641398/000121390025074991/ea0252409-10q_gdculture.htm" TargetMode="External"/><Relationship Id="rId107" Type="http://schemas.openxmlformats.org/officeDocument/2006/relationships/hyperlink" Target="http://www.sec.gov/Archives/edgar/data/1641398/000121390025104943/ea0261929-10q_gdculture.htm" TargetMode="External"/><Relationship Id="rId108" Type="http://schemas.openxmlformats.org/officeDocument/2006/relationships/hyperlink" Target="http://www.sec.gov/Archives/edgar/data/1641398/000101376225001023/ea0235280-8k_gdculture.htm" TargetMode="External"/><Relationship Id="rId109" Type="http://schemas.openxmlformats.org/officeDocument/2006/relationships/hyperlink" Target="https://www.sec.gov/Archives/edgar/data/1641398/000121390025028023/ea0236986-8k_gdculture.htm" TargetMode="External"/><Relationship Id="rId110" Type="http://schemas.openxmlformats.org/officeDocument/2006/relationships/hyperlink" Target="https://www.sec.gov/Archives/edgar/data/1641398/000121390025037052/ea0240079-8k_gdculture.htm" TargetMode="External"/><Relationship Id="rId111" Type="http://schemas.openxmlformats.org/officeDocument/2006/relationships/hyperlink" Target="https://www.sec.gov/Archives/edgar/data/1641398/000121390025040192/ea0240948-8k_gdculture.htm" TargetMode="External"/><Relationship Id="rId112" Type="http://schemas.openxmlformats.org/officeDocument/2006/relationships/hyperlink" Target="https://www.sec.gov/Archives/edgar/data/1641398/000121390025041114/ea0241466-8k_gdculture.htm" TargetMode="External"/><Relationship Id="rId113" Type="http://schemas.openxmlformats.org/officeDocument/2006/relationships/hyperlink" Target="https://www.sec.gov/Archives/edgar/data/1641398/000121390025042662/ea0241820-8k_gdculture.htm" TargetMode="External"/><Relationship Id="rId114" Type="http://schemas.openxmlformats.org/officeDocument/2006/relationships/hyperlink" Target="https://www.sec.gov/Archives/edgar/data/1641398/000121390025059682/ea0247619-8k_gdculture.htm" TargetMode="External"/><Relationship Id="rId115" Type="http://schemas.openxmlformats.org/officeDocument/2006/relationships/hyperlink" Target="https://www.sec.gov/Archives/edgar/data/1641398/000121390025061506/ea0248162-8k_gdculture.htm" TargetMode="External"/><Relationship Id="rId116" Type="http://schemas.openxmlformats.org/officeDocument/2006/relationships/hyperlink" Target="https://www.sec.gov/Archives/edgar/data/1641398/000121390025081150/ea0254781-8k_gdculture.htm" TargetMode="External"/><Relationship Id="rId117" Type="http://schemas.openxmlformats.org/officeDocument/2006/relationships/hyperlink" Target="https://www.sec.gov/Archives/edgar/data/1641398/000121390025087946/ea0257528-8k_gdculture.htm" TargetMode="External"/><Relationship Id="rId118" Type="http://schemas.openxmlformats.org/officeDocument/2006/relationships/hyperlink" Target="https://www.sec.gov/Archives/edgar/data/1641398/000121390025090139/ea0258253-8k_gdculture.htm" TargetMode="External"/><Relationship Id="rId119" Type="http://schemas.openxmlformats.org/officeDocument/2006/relationships/hyperlink" Target="https://www.sec.gov/Archives/edgar/data/1641398/000121390025095451/ea0259902-8k_gdculture.htm" TargetMode="External"/><Relationship Id="rId120" Type="http://schemas.openxmlformats.org/officeDocument/2006/relationships/hyperlink" Target="https://www.sec.gov/Archives/edgar/data/1641398/000121390025103498/ea0262903-8k_gdculture.htm" TargetMode="External"/><Relationship Id="rId121" Type="http://schemas.openxmlformats.org/officeDocument/2006/relationships/hyperlink" Target="https://www.sec.gov/Archives/edgar/data/1641398/000121390025125469/ea0270904-8k_gdculture.htm" TargetMode="External"/><Relationship Id="rId122" Type="http://schemas.openxmlformats.org/officeDocument/2006/relationships/hyperlink" Target="https://www.sec.gov/Archives/edgar/data/1641398/000121390026002180/ea0272170-8k_gdculture.htm" TargetMode="External"/><Relationship Id="rId123" Type="http://schemas.openxmlformats.org/officeDocument/2006/relationships/hyperlink" Target="https://www.sec.gov/Archives/edgar/data/1641398/000121390025123382/ea0267626-03.htm" TargetMode="External"/><Relationship Id="rId124" Type="http://schemas.openxmlformats.org/officeDocument/2006/relationships/hyperlink" Target="https://www.sec.gov/Archives/edgar/data/1641398/000121390015005373/f8a12b0715_jmglobal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2026-01-26T05:15:36Z</dcterms:created>
  <dcterms:modified xsi:type="dcterms:W3CDTF">2026-01-26T05:15:36Z</dcterms:modified>
</cp:coreProperties>
</file>