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4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940" w:type="dxa"/>
            <w:vAlign w:val="bottom"/>
          </w:tcPr>
          <w:p>
            <w:pPr>
              <w:spacing w:after="0"/>
              <w:rPr>
                <w:sz w:val="24"/>
                <w:szCs w:val="24"/>
                <w:color w:val="auto"/>
              </w:rPr>
            </w:pPr>
          </w:p>
        </w:tc>
      </w:tr>
      <w:tr>
        <w:trPr>
          <w:trHeight w:val="410"/>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294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94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2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28, 2026</w:t>
            </w:r>
          </w:p>
        </w:tc>
        <w:tc>
          <w:tcPr>
            <w:tcW w:w="2940" w:type="dxa"/>
            <w:vAlign w:val="bottom"/>
          </w:tcPr>
          <w:p>
            <w:pPr>
              <w:spacing w:after="0"/>
              <w:rPr>
                <w:sz w:val="24"/>
                <w:szCs w:val="24"/>
                <w:color w:val="auto"/>
              </w:rPr>
            </w:pPr>
          </w:p>
        </w:tc>
      </w:tr>
      <w:tr>
        <w:trPr>
          <w:trHeight w:val="410"/>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GD Culture Group Limited</w:t>
            </w:r>
          </w:p>
        </w:tc>
        <w:tc>
          <w:tcPr>
            <w:tcW w:w="294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8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(Exact name of Company as specified in charter)</w:t>
            </w:r>
          </w:p>
        </w:tc>
        <w:tc>
          <w:tcPr>
            <w:tcW w:w="2940" w:type="dxa"/>
            <w:vAlign w:val="bottom"/>
          </w:tcPr>
          <w:p>
            <w:pPr>
              <w:spacing w:after="0"/>
              <w:rPr>
                <w:sz w:val="20"/>
                <w:szCs w:val="20"/>
                <w:color w:val="auto"/>
              </w:rPr>
            </w:pPr>
          </w:p>
        </w:tc>
      </w:tr>
      <w:tr>
        <w:trPr>
          <w:trHeight w:val="432"/>
        </w:trPr>
        <w:tc>
          <w:tcPr>
            <w:tcW w:w="31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001-37513</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47-3709051</w:t>
            </w:r>
          </w:p>
        </w:tc>
      </w:tr>
      <w:tr>
        <w:trPr>
          <w:trHeight w:val="34"/>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940" w:type="dxa"/>
            <w:vAlign w:val="bottom"/>
          </w:tcPr>
          <w:p>
            <w:pPr>
              <w:spacing w:after="0"/>
              <w:rPr>
                <w:sz w:val="2"/>
                <w:szCs w:val="2"/>
                <w:color w:val="auto"/>
              </w:rPr>
            </w:pPr>
          </w:p>
        </w:tc>
      </w:tr>
      <w:tr>
        <w:trPr>
          <w:trHeight w:val="194"/>
        </w:trPr>
        <w:tc>
          <w:tcPr>
            <w:tcW w:w="3100" w:type="dxa"/>
            <w:vAlign w:val="bottom"/>
            <w:tcBorders>
              <w:top w:val="single" w:sz="8" w:color="auto"/>
            </w:tcBorders>
          </w:tcPr>
          <w:p>
            <w:pPr>
              <w:jc w:val="center"/>
              <w:ind w:left="43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No.)</w:t>
            </w:r>
          </w:p>
        </w:tc>
        <w:tc>
          <w:tcPr>
            <w:tcW w:w="2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4"/>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8"/>
              </w:rPr>
              <w:t>111 Town Square Place, Suite #1203</w:t>
            </w:r>
          </w:p>
        </w:tc>
        <w:tc>
          <w:tcPr>
            <w:tcW w:w="2940" w:type="dxa"/>
            <w:vAlign w:val="bottom"/>
          </w:tcPr>
          <w:p>
            <w:pPr>
              <w:spacing w:after="0"/>
              <w:rPr>
                <w:sz w:val="24"/>
                <w:szCs w:val="24"/>
                <w:color w:val="auto"/>
              </w:rPr>
            </w:pPr>
          </w:p>
        </w:tc>
      </w:tr>
      <w:tr>
        <w:trPr>
          <w:trHeight w:val="212"/>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Jersey City, NJ 07310</w:t>
            </w:r>
          </w:p>
        </w:tc>
        <w:tc>
          <w:tcPr>
            <w:tcW w:w="2940" w:type="dxa"/>
            <w:vAlign w:val="bottom"/>
          </w:tcPr>
          <w:p>
            <w:pPr>
              <w:spacing w:after="0"/>
              <w:rPr>
                <w:sz w:val="18"/>
                <w:szCs w:val="18"/>
                <w:color w:val="auto"/>
              </w:rPr>
            </w:pPr>
          </w:p>
        </w:tc>
      </w:tr>
      <w:tr>
        <w:trPr>
          <w:trHeight w:val="238"/>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8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940" w:type="dxa"/>
            <w:vAlign w:val="bottom"/>
          </w:tcPr>
          <w:p>
            <w:pPr>
              <w:spacing w:after="0"/>
              <w:rPr>
                <w:sz w:val="20"/>
                <w:szCs w:val="20"/>
                <w:color w:val="auto"/>
              </w:rPr>
            </w:pPr>
          </w:p>
        </w:tc>
      </w:tr>
      <w:tr>
        <w:trPr>
          <w:trHeight w:val="410"/>
        </w:trPr>
        <w:tc>
          <w:tcPr>
            <w:tcW w:w="3100" w:type="dxa"/>
            <w:vAlign w:val="bottom"/>
          </w:tcPr>
          <w:p>
            <w:pPr>
              <w:spacing w:after="0"/>
              <w:rPr>
                <w:sz w:val="24"/>
                <w:szCs w:val="24"/>
                <w:color w:val="auto"/>
              </w:rPr>
            </w:pPr>
          </w:p>
        </w:tc>
        <w:tc>
          <w:tcPr>
            <w:tcW w:w="43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+1-347- 2590292</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52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(Company’s Telephone number, including area code)</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Company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0" w:type="dxa"/>
            <w:vAlign w:val="bottom"/>
            <w:tcBorders>
              <w:bottom w:val="single" w:sz="8" w:color="CCEDFF"/>
            </w:tcBorders>
          </w:tcPr>
          <w:p>
            <w:pPr>
              <w:spacing w:after="0"/>
              <w:rPr>
                <w:sz w:val="21"/>
                <w:szCs w:val="21"/>
                <w:color w:val="auto"/>
              </w:rPr>
            </w:pPr>
          </w:p>
        </w:tc>
        <w:tc>
          <w:tcPr>
            <w:tcW w:w="200" w:type="dxa"/>
            <w:vAlign w:val="bottom"/>
            <w:tcBorders>
              <w:bottom w:val="single" w:sz="8" w:color="CCEDFF"/>
            </w:tcBorders>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40" w:type="dxa"/>
            <w:vAlign w:val="bottom"/>
            <w:tcBorders>
              <w:bottom w:val="single" w:sz="8" w:color="CCED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5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6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356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GDC</w:t>
            </w:r>
          </w:p>
        </w:tc>
        <w:tc>
          <w:tcPr>
            <w:tcW w:w="240" w:type="dxa"/>
            <w:vAlign w:val="bottom"/>
            <w:shd w:val="clear" w:color="auto" w:fill="CCEDFF"/>
          </w:tcPr>
          <w:p>
            <w:pPr>
              <w:spacing w:after="0"/>
              <w:rPr>
                <w:sz w:val="18"/>
                <w:szCs w:val="18"/>
                <w:color w:val="auto"/>
              </w:rPr>
            </w:pPr>
          </w:p>
        </w:tc>
        <w:tc>
          <w:tcPr>
            <w:tcW w:w="360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02429"/>
        </w:rPr>
        <w:t>Item 1.01 Entry Into a Material Definitive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02429"/>
        </w:rPr>
        <w:t xml:space="preserve">On </w:t>
      </w:r>
      <w:r>
        <w:rPr>
          <w:rFonts w:ascii="Times New Roman" w:cs="Times New Roman" w:eastAsia="Times New Roman" w:hAnsi="Times New Roman"/>
          <w:sz w:val="18"/>
          <w:szCs w:val="18"/>
          <w:color w:val="000000"/>
        </w:rPr>
        <w:t>April 28, 2026</w:t>
      </w:r>
      <w:r>
        <w:rPr>
          <w:rFonts w:ascii="Times New Roman" w:cs="Times New Roman" w:eastAsia="Times New Roman" w:hAnsi="Times New Roman"/>
          <w:sz w:val="18"/>
          <w:szCs w:val="18"/>
          <w:color w:val="202429"/>
        </w:rPr>
        <w:t>, GD Culture Group Limited. (the “</w:t>
      </w:r>
      <w:r>
        <w:rPr>
          <w:rFonts w:ascii="Times New Roman" w:cs="Times New Roman" w:eastAsia="Times New Roman" w:hAnsi="Times New Roman"/>
          <w:sz w:val="18"/>
          <w:szCs w:val="18"/>
          <w:b w:val="1"/>
          <w:bCs w:val="1"/>
          <w:color w:val="202429"/>
        </w:rPr>
        <w:t>Company</w:t>
      </w:r>
      <w:r>
        <w:rPr>
          <w:rFonts w:ascii="Times New Roman" w:cs="Times New Roman" w:eastAsia="Times New Roman" w:hAnsi="Times New Roman"/>
          <w:sz w:val="18"/>
          <w:szCs w:val="18"/>
          <w:color w:val="202429"/>
        </w:rPr>
        <w:t>”) entered into an At-The-Market Issuance Sales Agreement (the “</w:t>
      </w:r>
      <w:r>
        <w:rPr>
          <w:rFonts w:ascii="Times New Roman" w:cs="Times New Roman" w:eastAsia="Times New Roman" w:hAnsi="Times New Roman"/>
          <w:sz w:val="18"/>
          <w:szCs w:val="18"/>
          <w:b w:val="1"/>
          <w:bCs w:val="1"/>
          <w:color w:val="202429"/>
        </w:rPr>
        <w:t>Sales Agreement</w:t>
      </w:r>
      <w:r>
        <w:rPr>
          <w:rFonts w:ascii="Times New Roman" w:cs="Times New Roman" w:eastAsia="Times New Roman" w:hAnsi="Times New Roman"/>
          <w:sz w:val="18"/>
          <w:szCs w:val="18"/>
          <w:color w:val="202429"/>
        </w:rPr>
        <w:t>”) with Univest Securities, LLC (the “</w:t>
      </w:r>
      <w:r>
        <w:rPr>
          <w:rFonts w:ascii="Times New Roman" w:cs="Times New Roman" w:eastAsia="Times New Roman" w:hAnsi="Times New Roman"/>
          <w:sz w:val="18"/>
          <w:szCs w:val="18"/>
          <w:b w:val="1"/>
          <w:bCs w:val="1"/>
          <w:color w:val="202429"/>
        </w:rPr>
        <w:t>Sales Agent</w:t>
      </w:r>
      <w:r>
        <w:rPr>
          <w:rFonts w:ascii="Times New Roman" w:cs="Times New Roman" w:eastAsia="Times New Roman" w:hAnsi="Times New Roman"/>
          <w:sz w:val="18"/>
          <w:szCs w:val="18"/>
          <w:color w:val="202429"/>
        </w:rPr>
        <w:t>”) under which the Company may issue and sell from time to time, shares of its common stock, par value $0.0001 per share (the “</w:t>
      </w:r>
      <w:r>
        <w:rPr>
          <w:rFonts w:ascii="Times New Roman" w:cs="Times New Roman" w:eastAsia="Times New Roman" w:hAnsi="Times New Roman"/>
          <w:sz w:val="18"/>
          <w:szCs w:val="18"/>
          <w:b w:val="1"/>
          <w:bCs w:val="1"/>
          <w:color w:val="202429"/>
        </w:rPr>
        <w:t>Shares</w:t>
      </w:r>
      <w:r>
        <w:rPr>
          <w:rFonts w:ascii="Times New Roman" w:cs="Times New Roman" w:eastAsia="Times New Roman" w:hAnsi="Times New Roman"/>
          <w:sz w:val="18"/>
          <w:szCs w:val="18"/>
          <w:color w:val="202429"/>
        </w:rPr>
        <w:t>”), having an aggregate offering price of not more than $300,000,000 through the Sales Agent or any of its sub-agent(s) or other designees, acting as sales agent. Prior to any sales under the Sales Agreement, the Company will deliver a “Transaction Notice” to the Sales Agent that will set the parameters for such sale of Shares, including the number of Shares to be issued, the time period during which sales are requested to be made, any limitation on the number of Shares that may be sold in any one trading day and any minimum price below which sales may not be made. The offer and sale of the Shares, if any, will be made pursuant to the Company's registration statement on Form S-3 (File No. 333-292934), which was initially filed with the United States Securities and Exchange Commission (the “Commission”) on January 26, 2026, and was declared effective by the Commission on March 18, 2026 and as supplemented by the prospectus supplement to be filed with the Commission relating to the Shares which may be issued from time to time pursuant to the Sales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02429"/>
        </w:rPr>
        <w:t>Subject to the terms and conditions of the Sales Agreement, the Sales Agent may sell the Shares by methods deemed to be an “at-the-market” offering as defined in Rule 415 promulgated under the United States Securities Act of 1933, as amended (the “Securities Act”), including, without limitation, with the Company’s prior written consent, in negotiated transactions permitted by law, or as may be required by the rules and regulations of the Nasdaq Stock Market, LLC or such other trading market on which the Company’s common stock is listed or quoted. The Sales Agent will use commercially reasonable efforts consistent with its normal trading and sales practices to sell the Shares in accordance with the terms of the Sales Agreement and any applicable Transaction Notice. The Company cannot provide any assurances that the Sales Agent will sell any Shares pursuant to the Sales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02429"/>
        </w:rPr>
        <w:t>The Company made certain customary representations, warranties and covenants concerning the Company and the offering of the Shares. Pursuant to the terms of the Sales Agreement, the Company also provided the Sales Agent with customary indemnification rights, including indemnification against certain liabilities under the Securities Act. The Company will pay the Sales Agent a commission in cash equal to 3.5% of the gross proceeds from the sale of the Shares under the Sales Agreement, if any. In addition, the Company has agreed to reimburse the Sales Agent for all reasonable travel and other accountable expenses, including the documented fees and costs of its legal counsel reasonably incurred in connection with entering into the transactions contemplated by the Sales Agreement in an amount not to exceed $125,000. Additionally, pursuant to the terms of the Sales Agreement, the Company agreed to reimburse the Sales Agent for the documented fees and costs of its legal counsel reasonably incurred in connection with Sales Agent’s ongoing diligence requirements arising from the transactions contemplated by the Sales Agreement in an amount not to exceed $5,000 in the aggregate per calendar quarter. The offering of Shares will terminate upon the earlier of the sale of the Shares under the Sales Agreement having an aggregate offering price of $300,000,000 or the termination of the Sales Agreement as permitted therein. The Sales Agreement may be terminated by the Company at any time upon three (3) days’ prior written notice to the Sales Agent. The Sales Agent may terminate the Sales Agreement at any time by providing written notice to the Company. The Company and the Sales Agent may also terminate the Sales Agreement by mutual agreement.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foregoing summary of the </w:t>
      </w:r>
      <w:r>
        <w:rPr>
          <w:rFonts w:ascii="Times New Roman" w:cs="Times New Roman" w:eastAsia="Times New Roman" w:hAnsi="Times New Roman"/>
          <w:sz w:val="18"/>
          <w:szCs w:val="18"/>
          <w:color w:val="202429"/>
        </w:rPr>
        <w:t>Sales Agreement is</w:t>
      </w:r>
      <w:r>
        <w:rPr>
          <w:rFonts w:ascii="Times New Roman" w:cs="Times New Roman" w:eastAsia="Times New Roman" w:hAnsi="Times New Roman"/>
          <w:sz w:val="18"/>
          <w:szCs w:val="18"/>
          <w:color w:val="auto"/>
        </w:rPr>
        <w:t xml:space="preserve"> not complete and is qualified in the entirety by reference to the complete text of the </w:t>
      </w:r>
      <w:r>
        <w:rPr>
          <w:rFonts w:ascii="Times New Roman" w:cs="Times New Roman" w:eastAsia="Times New Roman" w:hAnsi="Times New Roman"/>
          <w:sz w:val="18"/>
          <w:szCs w:val="18"/>
          <w:color w:val="202429"/>
        </w:rPr>
        <w:t>Sales Agreement</w:t>
      </w:r>
      <w:r>
        <w:rPr>
          <w:rFonts w:ascii="Times New Roman" w:cs="Times New Roman" w:eastAsia="Times New Roman" w:hAnsi="Times New Roman"/>
          <w:sz w:val="18"/>
          <w:szCs w:val="18"/>
          <w:color w:val="auto"/>
        </w:rPr>
        <w:t>, which is filed as Exhibit 10.1 to this report on Form 6-K and is incorporated by reference 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02429"/>
        </w:rPr>
        <w:t>The Shares will be issued pursuant to the Company’s Registration Statement, the base prospectus filed as part of the Registration Statement and the prospectus supplement filed as part of the Registration Statement. This Current Report shall not constitute an offer to sell or the solicitation of an offer to buy nor shall there be any sale of the Shares in any state in which such offer, solicitation or sale would be unlawful prior to registration or qualification under the securities laws of any such state.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202429"/>
        </w:rPr>
        <w:t>The Company cautions you that statements included in this report that are not a description of historical facts are forward-looking statements. These forward-looking statements include statements regarding the ability to sell Shares and raise additional funds pursuant to the Sales Agreement. The inclusion of forward-looking statements should not be regarded as a representation by the Company that any of these results will be achieved. Actual results may differ from those set forth in this report due to the risks and uncertainties associated with market conditions and the satisfaction of pre-sale conditions under the Sales Agreement, as well as risks and uncertainties inherent in the Company's business, including those described in the Company's periodic filings with the SEC. You are cautioned not to place undue reliance on these forward-looking statements, which speak only as of the date hereof, and the Company undertakes no obligation to revise or update this report to reflect events or circumstances after the date hereof. All forward-looking statements are qualified in their entirety by this cautionary statement. This cautionary statement is made under the safe harbor provisions of Section 21E of the Private Securities Litigation Reform Act of 1995.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2026, the Company issued a press release entitled “GD Culture Group Limited Provides Business Progress on AI Interactive Novel Platform - Fato Now Available on Apple App Store”. A copy of the press release is furnished herewith as Exhibit 99.1.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the information in the press release is attached as Exhibit 99.1 to this Current Report on Form 8-K is furnished pursuant to Item 7.01 of Form 8-K and shall not be deemed “filed” for the purposes of Section 18 of the Exchange Act or otherwise subject to the liabilities of that section. Furthermore, the information in Item 7.01 of this Current Report on Form 8-K, shall not be deemed to be incorporated by reference in the filings of the Company under the Securities Act.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contained in this Report on Form 6-K of the Company are hereby incorporated by reference into the Company’s Registration Statement on Form S-3 (File No. </w:t>
      </w:r>
      <w:r>
        <w:rPr>
          <w:rFonts w:ascii="Times New Roman" w:cs="Times New Roman" w:eastAsia="Times New Roman" w:hAnsi="Times New Roman"/>
          <w:sz w:val="18"/>
          <w:szCs w:val="18"/>
          <w:color w:val="202429"/>
        </w:rPr>
        <w:t>333-292934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McLaughlin &amp; Stern, LLP</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At-the-Market Issuance Sales Agreement, dated April 28, 2026, by and between GD Culture Group Limited. and Univest Securities, LLC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53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4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McLaughlin &amp; Stern, LLP (included in Exhibit 5.1)</w:t>
            </w:r>
          </w:p>
        </w:tc>
        <w:tc>
          <w:tcPr>
            <w:tcW w:w="554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Press Release - GD Culture Group Limited Provides Business Progress on AI Interactive Novel Platform - Fato Now Available on Apple</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App Store, dated April 29, 2026</w:t>
            </w:r>
          </w:p>
        </w:tc>
        <w:tc>
          <w:tcPr>
            <w:tcW w:w="7780" w:type="dxa"/>
            <w:vAlign w:val="bottom"/>
            <w:gridSpan w:val="4"/>
          </w:tcPr>
          <w:p>
            <w:pPr>
              <w:spacing w:after="0"/>
              <w:rPr>
                <w:sz w:val="17"/>
                <w:szCs w:val="17"/>
                <w:color w:val="auto"/>
              </w:rPr>
            </w:pPr>
          </w:p>
        </w:tc>
      </w:tr>
    </w:tbl>
    <w:p>
      <w:pPr>
        <w:spacing w:after="0" w:line="9" w:lineRule="exact"/>
        <w:rPr>
          <w:sz w:val="20"/>
          <w:szCs w:val="20"/>
          <w:color w:val="auto"/>
        </w:rPr>
      </w:pPr>
    </w:p>
    <w:p>
      <w:pPr>
        <w:ind w:left="5580" w:right="42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GD Culture Group Limited</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 Jian Wang</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Xiao Jian Wang</w:t>
            </w:r>
          </w:p>
        </w:tc>
      </w:tr>
      <w:tr>
        <w:trPr>
          <w:trHeight w:val="216"/>
        </w:trPr>
        <w:tc>
          <w:tcPr>
            <w:tcW w:w="3540" w:type="dxa"/>
            <w:vAlign w:val="bottom"/>
          </w:tcPr>
          <w:p>
            <w:pPr>
              <w:spacing w:after="0"/>
              <w:rPr>
                <w:sz w:val="18"/>
                <w:szCs w:val="18"/>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w:t>
            </w:r>
          </w:p>
        </w:tc>
      </w:tr>
      <w:tr>
        <w:trPr>
          <w:trHeight w:val="234"/>
        </w:trPr>
        <w:tc>
          <w:tcPr>
            <w:tcW w:w="35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aughlin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&amp;</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tern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llp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ounded</w:t>
      </w:r>
      <w:r>
        <w:rPr>
          <w:rFonts w:ascii="Times New Roman" w:cs="Times New Roman" w:eastAsia="Times New Roman" w:hAnsi="Times New Roman"/>
          <w:sz w:val="18"/>
          <w:szCs w:val="18"/>
          <w:b w:val="1"/>
          <w:bCs w:val="1"/>
          <w:color w:val="auto"/>
        </w:rPr>
        <w:t xml:space="preserve"> 1898</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STEVEN W. SCHUSTER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Partner</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260 M</w:t>
            </w:r>
            <w:r>
              <w:rPr>
                <w:rFonts w:ascii="Times New Roman" w:cs="Times New Roman" w:eastAsia="Times New Roman" w:hAnsi="Times New Roman"/>
                <w:sz w:val="12"/>
                <w:szCs w:val="12"/>
                <w:color w:val="auto"/>
              </w:rPr>
              <w:t>adison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venue</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sschsuter@mclaughlinstern.com</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10016</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illbrook</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(212) 448-6216</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 448–1100</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arden city</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RICHARD XU</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(212) 448–0066</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estport</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onnecticut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vMerge w:val="continue"/>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www.mclaughlinstern.com</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est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alm</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each</w:t>
            </w:r>
            <w:r>
              <w:rPr>
                <w:rFonts w:ascii="Times New Roman" w:cs="Times New Roman" w:eastAsia="Times New Roman" w:hAnsi="Times New Roman"/>
                <w:sz w:val="18"/>
                <w:szCs w:val="18"/>
                <w:color w:val="auto"/>
              </w:rPr>
              <w:t>, F</w:t>
            </w:r>
            <w:r>
              <w:rPr>
                <w:rFonts w:ascii="Times New Roman" w:cs="Times New Roman" w:eastAsia="Times New Roman" w:hAnsi="Times New Roman"/>
                <w:sz w:val="12"/>
                <w:szCs w:val="12"/>
                <w:color w:val="auto"/>
              </w:rPr>
              <w:t>lorida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Partner</w:t>
            </w:r>
          </w:p>
        </w:tc>
        <w:tc>
          <w:tcPr>
            <w:tcW w:w="37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estfield</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ersey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RXu@mclaughlinstern.com</w:t>
            </w:r>
          </w:p>
        </w:tc>
        <w:tc>
          <w:tcPr>
            <w:tcW w:w="3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(212) 448-6233</w:t>
            </w:r>
          </w:p>
        </w:tc>
        <w:tc>
          <w:tcPr>
            <w:tcW w:w="37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41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GD Culture Group Limited</w:t>
            </w:r>
          </w:p>
        </w:tc>
        <w:tc>
          <w:tcPr>
            <w:tcW w:w="3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 Town Square Place, Suite #1203</w:t>
            </w:r>
          </w:p>
        </w:tc>
        <w:tc>
          <w:tcPr>
            <w:tcW w:w="3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Jersey City, NJ 07310</w:t>
            </w:r>
          </w:p>
        </w:tc>
        <w:tc>
          <w:tcPr>
            <w:tcW w:w="37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GD Culture Group Limited</w:t>
            </w:r>
          </w:p>
        </w:tc>
        <w:tc>
          <w:tcPr>
            <w:tcW w:w="3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have requested our opinion with respect to certain matters in connection with the filing by GD Culture Group Limited, a Nevada corporation (the “Company”), of a prospectus supplement, dated April 28, 2026 (the “Prospectus Supplement”), to the prospectus which forms a part of a Registration Statement (the “Registration Statement”) on Form S-3 (File No. 333-292934), which was initially filed with the United States Securities and Exchange Commission (the “Commission”) on January 26, 2026, and was declared effective by the Commission on March 18, 2026, including the base prospectus (the “Base Prospectus”). The Prospectus Supplement relates to the issuance and sale of shares of common stock, par value $0.0001 per share (the “Common Stock”) of the Company having an aggregate offering price of up to US$300,000,000 of Common Stock (the “Shares”) pursuant to an At-The-Market Issuance Sales Agreement (the “ATM Sales Agreement”), dated April 28, 2026, through Univest Securities, LLC, as selling agent (the “Agent”).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capacity as the Company’s counsel in connection with this matter, we are familiar with the proceedings taken and proposed to be taken by the Company in connection with the authorization and issue of the Shares. We have reviewed and relied upon, without independent verification, such matters and documents, and the representations contained therein, as we have deemed necessary to render the opinions set forth below. Such documents include, without limitation: (a) Articles of Incorporation of the Company, as amended to date, (b) By-laws of the Company, as amended to date, (c) the Registration Statement, all documents incorporated therein by reference and all exhibits thereto, (d) the Base Prospectus, (e) the Prospectus Supplement, (f) Resolutions of the Board of Directors of the Company (the “Board”) approving this transaction, dated April 28, 2026, and (g) the ATM Sales Agreement and all the schedules and exhibits thereto. For purposes of this opinion, we have assumed that such proceedings to be taken in the future will be timely completed in the manner presently proposed and that the terms of each issuance will otherwise be in compliance with law. In addition, we have examined such matters of fact and questions of law as we have considered appropriate for purposes of this letter. We have examined the originals, photocopies, certified copies or other evidence of such records of the Company, certificates of officers of the Company and public officials, and other documents as we have deemed relevant and necessary as a basis for the opinion hereinafter expressed. We have assumed the authenticity of all documents submitted to us as originals, the conformity to originals of all documents submitted to us as copies thereof and the genuineness of all signatures. As to questions of fact material to our opinion, we have relied upon the certificates of certain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aughlin</w:t>
      </w:r>
      <w:r>
        <w:rPr>
          <w:rFonts w:ascii="Times New Roman" w:cs="Times New Roman" w:eastAsia="Times New Roman" w:hAnsi="Times New Roman"/>
          <w:sz w:val="18"/>
          <w:szCs w:val="18"/>
          <w:color w:val="auto"/>
        </w:rPr>
        <w:t xml:space="preserve"> &amp; S</w:t>
      </w:r>
      <w:r>
        <w:rPr>
          <w:rFonts w:ascii="Times New Roman" w:cs="Times New Roman" w:eastAsia="Times New Roman" w:hAnsi="Times New Roman"/>
          <w:sz w:val="12"/>
          <w:szCs w:val="12"/>
          <w:color w:val="auto"/>
        </w:rPr>
        <w:t>tern</w:t>
      </w:r>
      <w:r>
        <w:rPr>
          <w:rFonts w:ascii="Times New Roman" w:cs="Times New Roman" w:eastAsia="Times New Roman" w:hAnsi="Times New Roman"/>
          <w:sz w:val="18"/>
          <w:szCs w:val="18"/>
          <w:color w:val="auto"/>
        </w:rPr>
        <w:t>, LLP</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opinions set forth below with respect to the validity or binding effect of any security or obligation may be limited by (i) bankruptcy, insolvency, reorganization, fraudulent conveyance, marshaling, moratorium or other similar laws affecting the enforcement generally of the rights and remedies of creditors and secured parties or the obligations of debtors, (ii) general principles of equity (whether considered in a proceeding in equity or at law), including but not limited to principles limiting the availability of specific performance or injunctive relief, and concepts of materiality, reasonableness, good faith and fair dealing, (iii) the possible unenforceability under certain circumstances of provisions providing for indemnification, contribution, exculpation, release or waiver that may be contrary to public policy or violative of federal or state securities laws, rules or regulations, and</w:t>
      </w:r>
    </w:p>
    <w:p>
      <w:pPr>
        <w:spacing w:after="0" w:line="5" w:lineRule="exact"/>
        <w:rPr>
          <w:sz w:val="20"/>
          <w:szCs w:val="20"/>
          <w:color w:val="auto"/>
        </w:rPr>
      </w:pPr>
    </w:p>
    <w:p>
      <w:pPr>
        <w:ind w:firstLine="8"/>
        <w:spacing w:after="0" w:line="260" w:lineRule="auto"/>
        <w:tabs>
          <w:tab w:leader="none" w:pos="3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course of dealing, course of performance, oral agreements or the like that would modify the terms of an agreement or the respective rights or obligations of the parties under an agreement.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qualifications, limitations, exceptions and assumptions set forth herein, we are of the opinion that the Shares have been authorized for issuance and when issued in compliance with the provisions of the ATM Sales Agreement, including the receipt by the Company of any consideration required thereunder, the Shares will be validly issued, fully paid and non-assessable shares of the Company’s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the Company’s Current Report on Form 8-K to be filed on April 29, 2026, incorporated by reference into the Registration Statement, and to the use of our name as it appears under the caption “Legal Matters” in the Prospectus Supplement. In giving such consent, we do not hereby admit that we are within the category of persons whose consent is required under Section 7 of the Securities Act of 1933, as amended, or the rules and regulations thereunder.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members of the Bar of New York and do not express any opinion as to matters governed by any laws other than the internal laws of the State of New York, and the applicable federal laws of the United States, as each is in effect and in force as of the date of this opinion. However, for the limited purposes of our opinions set forth above, we are generally familiar with the General Company Law of the State of Nevada and have made such inquiries as we consider necessary to render this opinion with respect to a Nevada corporation. This opinion is limited to Chapter 78 of the Nevada Revised Statutes and all applicable provisions of reported judicial decisions interpreting these laws. We express no other opinion concerning any matters respecting or affected by any laws other than laws that a lawyer in New York exercising customary professional diligence would reasonably recognize as being directly applicable to the transactions contemplated by the ATM Sales Agreement.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letter is furnished in connection with the Prospectus and the Prospectus Supplement and may not be relied upon for any other purpose without our prior written consent in each instance. Further, no portion of this letter may be quoted, circulated or referred to in any other document for any other purpose without our prior written consent. This opinion is rendered as of the date hereof and based solely on our understanding of facts in existence as of such date after the examination described in this opinion. We assume no obligation to advise you of any fact, circumstance, event or change in the law or the facts that may hereafter be brought to our attention whether or not such occurrence would affect or modify the opinions expressed herein.</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McLaughlin &amp; Stern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McLaughlin &amp; Stern LLP</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NY | Garden City, NY | Millbrook, NY | Westfield, NJ | Westport, CT | West Palm Beach, FL | Naples, FL | Sarasota,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$300,000,000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AT-THE-MARKET ISSUANCE 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Univest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Rockefeller Plaza, Suite 25A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GD Culture Group Limited,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to issue and sell through Univest Securities, LLC, as selling agent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shares of common stock, par value $0.0001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having an aggregate offering price of up to US$300,000,000 of Common Stock (the Common Stock subject to this At-The-Market Issuance Sales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being referred to herein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on terms set forth herein and subject to the limitations set forth in Section 2(a) hereof. The Shares consist entirely of authorized but unissued shares of Common Stock to be issued and sold by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Agent with respect to the sale of the Shares.</w:t>
      </w:r>
    </w:p>
    <w:p>
      <w:pPr>
        <w:spacing w:after="0" w:line="22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and Warranties of the Company.</w:t>
      </w:r>
    </w:p>
    <w:p>
      <w:pPr>
        <w:spacing w:after="0" w:line="229" w:lineRule="exact"/>
        <w:rPr>
          <w:sz w:val="20"/>
          <w:szCs w:val="20"/>
          <w:color w:val="auto"/>
        </w:rPr>
      </w:pPr>
    </w:p>
    <w:p>
      <w:pPr>
        <w:ind w:right="20" w:firstLine="656"/>
        <w:spacing w:after="0" w:line="282" w:lineRule="auto"/>
        <w:tabs>
          <w:tab w:leader="none" w:pos="8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the Agent as follows as of the date of this Agreement, each Settlement Date, each Time of Sale, each time a Transaction Notice is delivered and each Bringdown Date:</w:t>
      </w:r>
    </w:p>
    <w:p>
      <w:pPr>
        <w:spacing w:after="0" w:line="158" w:lineRule="exact"/>
        <w:rPr>
          <w:sz w:val="20"/>
          <w:szCs w:val="20"/>
          <w:color w:val="auto"/>
        </w:rPr>
      </w:pPr>
    </w:p>
    <w:p>
      <w:pPr>
        <w:jc w:val="both"/>
        <w:ind w:firstLine="656"/>
        <w:spacing w:after="0" w:line="251"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registration statement on Form S-3 </w:t>
      </w:r>
      <w:r>
        <w:rPr>
          <w:rFonts w:ascii="Times New Roman" w:cs="Times New Roman" w:eastAsia="Times New Roman" w:hAnsi="Times New Roman"/>
          <w:sz w:val="18"/>
          <w:szCs w:val="18"/>
          <w:color w:val="202429"/>
        </w:rPr>
        <w:t>(File No. 333-292934)</w:t>
      </w:r>
      <w:r>
        <w:rPr>
          <w:rFonts w:ascii="Times New Roman" w:cs="Times New Roman" w:eastAsia="Times New Roman" w:hAnsi="Times New Roman"/>
          <w:sz w:val="18"/>
          <w:szCs w:val="18"/>
          <w:color w:val="auto"/>
        </w:rPr>
        <w:t xml:space="preserve"> registering $300,000,000 of securities of the Company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has been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initially on January 26, 2026, and such registration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has been declared effective by the Commission on March 18, 2026 and currently effective, under the Securities Act of 1933, as amended (the “</w:t>
      </w:r>
      <w:r>
        <w:rPr>
          <w:rFonts w:ascii="Times New Roman" w:cs="Times New Roman" w:eastAsia="Times New Roman" w:hAnsi="Times New Roman"/>
          <w:sz w:val="18"/>
          <w:szCs w:val="18"/>
          <w:b w:val="1"/>
          <w:bCs w:val="1"/>
          <w:i w:val="1"/>
          <w:iCs w:val="1"/>
          <w:color w:val="auto"/>
        </w:rPr>
        <w:t>Securities Act of 1933</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i w:val="1"/>
          <w:iCs w:val="1"/>
          <w:color w:val="auto"/>
        </w:rPr>
        <w:t>Rules and Regulations</w:t>
      </w:r>
      <w:r>
        <w:rPr>
          <w:rFonts w:ascii="Times New Roman" w:cs="Times New Roman" w:eastAsia="Times New Roman" w:hAnsi="Times New Roman"/>
          <w:sz w:val="18"/>
          <w:szCs w:val="18"/>
          <w:color w:val="auto"/>
        </w:rPr>
        <w:t>” and collectively with the Securities Act of 1933,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on each Settlement Date, each Time of Sale and each time a Transaction Notice is delivered and each Bringdown Date. Except where the context otherwise requires,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as used herein, means the registration statement, as amended at the time of such registration statement’s effectiveness for purposes of Section 11 of the Securities Act, as such section applies to the Agent, including (1) all documents filed as a part thereof or incorporated or deemed to be incorporated by reference therein, (2) any information contained or incorporated by reference in a prospectus filed with the Commission pursuant to Rule 424(b) under the Securities Act, to the extent such information is deemed, pursuant to Rule 430B or Rule 430C under the Securities Act, to be part of the registration statement at such time, and (3) any registration statement filed to register the offer and sale of Shares pursuant to Rule 462(b) under the Securities Act (the “</w:t>
      </w:r>
      <w:r>
        <w:rPr>
          <w:rFonts w:ascii="Times New Roman" w:cs="Times New Roman" w:eastAsia="Times New Roman" w:hAnsi="Times New Roman"/>
          <w:sz w:val="18"/>
          <w:szCs w:val="18"/>
          <w:b w:val="1"/>
          <w:bCs w:val="1"/>
          <w:i w:val="1"/>
          <w:iCs w:val="1"/>
          <w:color w:val="auto"/>
        </w:rPr>
        <w:t>462(b) Registration Statement</w:t>
      </w:r>
      <w:r>
        <w:rPr>
          <w:rFonts w:ascii="Times New Roman" w:cs="Times New Roman" w:eastAsia="Times New Roman" w:hAnsi="Times New Roman"/>
          <w:sz w:val="18"/>
          <w:szCs w:val="18"/>
          <w:color w:val="auto"/>
        </w:rPr>
        <w:t>”). Except where the context otherwise requires, “</w:t>
      </w:r>
      <w:r>
        <w:rPr>
          <w:rFonts w:ascii="Times New Roman" w:cs="Times New Roman" w:eastAsia="Times New Roman" w:hAnsi="Times New Roman"/>
          <w:sz w:val="18"/>
          <w:szCs w:val="18"/>
          <w:b w:val="1"/>
          <w:bCs w:val="1"/>
          <w:i w:val="1"/>
          <w:i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as used herein, means the prospectus filed as part of the Registration Statement, together with any amendments or supplements thereto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date of this Agreement. Except where the context otherwise requires,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as used herein, means the most recent prospectus supplement relating to the Shares, filed by the Company with the Commission pursuant to Rule 424(b) under the Securities Act and in accordance with the terms of this Agreement. Except where the context otherwise requires,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as used herein, means the Prospectus Supplement together with the Base Prospectus attached to or used with the Prospectus Supplement, as may be amended or supplemented from time to time. “</w:t>
      </w:r>
      <w:r>
        <w:rPr>
          <w:rFonts w:ascii="Times New Roman" w:cs="Times New Roman" w:eastAsia="Times New Roman" w:hAnsi="Times New Roman"/>
          <w:sz w:val="18"/>
          <w:szCs w:val="18"/>
          <w:b w:val="1"/>
          <w:bCs w:val="1"/>
          <w:i w:val="1"/>
          <w:iCs w:val="1"/>
          <w:color w:val="auto"/>
        </w:rPr>
        <w:t>Permitted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as used herein, means the documents, if any, listed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attached hereto and, after the date hereof, any “issuer free writing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as defined in Rule 433 of the Securities Act, that is expressly agreed to by the Company and the Agent in writing to be a Permitted Free Writing Prospectus. Any reference herein to the Registration Statement, the Base Prospectus, the Prospectus Supplement, the Prospectus or any Permitted Free Writing Prospectus shall be deemed to refer to and include the documents, if any, incorporated by reference, or deemed to be incorporated by reference, therein pursuant to Item 12 of Form S-3 (the “</w:t>
      </w:r>
      <w:r>
        <w:rPr>
          <w:rFonts w:ascii="Times New Roman" w:cs="Times New Roman" w:eastAsia="Times New Roman" w:hAnsi="Times New Roman"/>
          <w:sz w:val="18"/>
          <w:szCs w:val="18"/>
          <w:b w:val="1"/>
          <w:bCs w:val="1"/>
          <w:i w:val="1"/>
          <w:iCs w:val="1"/>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For purposes of this Agreement, all references to the Registration Statement, the Rule 462(b) Registration Statement, the Base Prospectus, the Prospectus Supplement, the Prospectus, or any amendment or supplement to any of the foregoing shall be deemed to include the copy filed with the Commission pursuant to its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The Company has prepared a Prospectus Supplement specifically related to the Shares, which shall be filed with the Commission prior to the delivery of any Transaction Notice. All references in this Agreement to financial statements and schedules and other information which is “described,” “contained,” “included” or “stated” in the Registration Statement, the Base Prospectus, the Prospectus Supplement, the Prospectus or any Permitted Free Writing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Base Prospectus, the Prospectus Supplement, the Prospectus or Permitted Free Writing Prospectus as the case may be. Any reference herein to the terms “</w:t>
      </w:r>
      <w:r>
        <w:rPr>
          <w:rFonts w:ascii="Times New Roman" w:cs="Times New Roman" w:eastAsia="Times New Roman" w:hAnsi="Times New Roman"/>
          <w:sz w:val="18"/>
          <w:szCs w:val="18"/>
          <w:b w:val="1"/>
          <w:bCs w:val="1"/>
          <w:i w:val="1"/>
          <w:iCs w:val="1"/>
          <w:color w:val="auto"/>
        </w:rPr>
        <w:t>amend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color w:val="auto"/>
        </w:rPr>
        <w:t>” with respect to the Registration Statement, any Base Prospectus, the Prospectus, the Prospectus Supplement or any Permitted Free Writing Prospectus shall be deemed to refer to and include the filing of any document under the Securities Exchange Act of 1934, as amended, and the rules and regulations thereunder (collectively,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on or after the initial effective date of the Registration Statement, or the date of such Base Prospectus, the Prospectus, the Prospectus Supplement or such Permitted Free Writing Prospectus, if any, as the case may be, and incorporated or deemed to be incorporated therein by reference pursuant to Item 12 of Form S-3. “</w:t>
      </w:r>
      <w:r>
        <w:rPr>
          <w:rFonts w:ascii="Times New Roman" w:cs="Times New Roman" w:eastAsia="Times New Roman" w:hAnsi="Times New Roman"/>
          <w:sz w:val="18"/>
          <w:szCs w:val="18"/>
          <w:b w:val="1"/>
          <w:bCs w:val="1"/>
          <w:i w:val="1"/>
          <w:iCs w:val="1"/>
          <w:color w:val="auto"/>
        </w:rPr>
        <w:t>Time of Sale</w:t>
      </w:r>
      <w:r>
        <w:rPr>
          <w:rFonts w:ascii="Times New Roman" w:cs="Times New Roman" w:eastAsia="Times New Roman" w:hAnsi="Times New Roman"/>
          <w:sz w:val="18"/>
          <w:szCs w:val="18"/>
          <w:color w:val="auto"/>
        </w:rPr>
        <w:t>” means each time a Share is purchased pursuant to this Agreement.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jc w:val="both"/>
        <w:ind w:firstLine="656"/>
        <w:spacing w:after="0" w:line="253"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Registration Statement complies as of the date hereof, and will comply upon the effectiveness of any amendment thereto and at each Time of Sale, each Settlement Date (as defined below) and at the time of delivery of each Transaction Notice, and each Bringdown Date, as applicable, in all material respects, with the requirements of the Securities Act; at all times during which a prospectus is required by the Securities Act to be delivered (whether physically or through compliance with Rule 172 under the Securities Act or any similar rule) in connection with any sale of Shares (the “</w:t>
      </w:r>
      <w:r>
        <w:rPr>
          <w:rFonts w:ascii="Times New Roman" w:cs="Times New Roman" w:eastAsia="Times New Roman" w:hAnsi="Times New Roman"/>
          <w:sz w:val="18"/>
          <w:szCs w:val="18"/>
          <w:b w:val="1"/>
          <w:bCs w:val="1"/>
          <w:i w:val="1"/>
          <w:iCs w:val="1"/>
          <w:color w:val="auto"/>
        </w:rPr>
        <w:t>Prospectus Delivery Period</w:t>
      </w:r>
      <w:r>
        <w:rPr>
          <w:rFonts w:ascii="Times New Roman" w:cs="Times New Roman" w:eastAsia="Times New Roman" w:hAnsi="Times New Roman"/>
          <w:sz w:val="18"/>
          <w:szCs w:val="18"/>
          <w:color w:val="auto"/>
        </w:rPr>
        <w:t>”), the Registration Statement, as may be amended, will comply, in all material respects, with the requirements of the Securities Act; the conditions to the use of Form S-3 in connection with the offering and sale of the Shares as contemplated hereby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have been satisfied; the Registration Statement meets, and the Offering complies with, the requirements of Rule 415 under the Securities Act (including, without limitation, Rule 415(a)(5)); the Registration Statement does not, as of the date hereof, and will not, as of the effective date of any amendment thereto, at each Time of Sale, if any, and at all times during a Prospectus Delivery Period, contain an untrue statement of a material fact or omit to state a material fact required to be stated therein or necessary to make the statements therein not misleading. There is no stop order suspending effectiveness of the Registration Statement.</w:t>
      </w:r>
    </w:p>
    <w:p>
      <w:pPr>
        <w:spacing w:after="0" w:line="192" w:lineRule="exact"/>
        <w:rPr>
          <w:sz w:val="20"/>
          <w:szCs w:val="20"/>
          <w:color w:val="auto"/>
        </w:rPr>
      </w:pPr>
    </w:p>
    <w:p>
      <w:pPr>
        <w:jc w:val="both"/>
        <w:ind w:firstLine="656"/>
        <w:spacing w:after="0" w:line="256" w:lineRule="auto"/>
        <w:tabs>
          <w:tab w:leader="none" w:pos="9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as of the date of the Prospectus Supplement, as of the date hereof (if filed with the Commission on or prior to the date hereof), at each Settlement Date, Time of Sale and at the time of delivery of each Transaction Notice, and each Bringdown Date (as applicable), and at all times during a Prospectus Delivery Period, complied, complies or will comply, in all material respects, with the requirements of the Securities Act; and the Prospectus, and each supplement thereto, as of their respective dates, at each Settlement Date or Time of Sale (as applicable), and at all times during a Prospectus Delivery Period, did not and will not include an untrue statement of a material fact or omit to state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Permitted Free Writing Prospectus, if any, as of its date and as of each Settlement Date, Time of Sale and at the time of delivery of each Transaction Notice, and each Bringdown Date (as applicable), and at all times during a Prospectus Delivery Period (when taken together with the Prospectus at such time) will not include an untrue statement of a material fact or omit to state a material fact necessary in order to make the statements therein, in the light of the circumstances under which they were made, not misleading.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representations and warranties set forth in subparagraphs (A), (B) and (C) above shall not apply to any statement contained in the Registration Statement, any Base Prospectus, the Prospectus Supplement, Prospectus or any Permitted Free Writing Prospectus in reliance upon and in conformity with information concerning the Agent that is furnished in writing by or on behalf of the Agent expressly for use in the Registration Statement, such Base Prospectus, the Prospectus Supplement, the Prospectus or such Permitted Free Writing Prospectus, if any, it being understood and agreed that only such information furnished by the Agent as of the date hereof consists of the information described in </w:t>
      </w:r>
      <w:r>
        <w:rPr>
          <w:rFonts w:ascii="Times New Roman" w:cs="Times New Roman" w:eastAsia="Times New Roman" w:hAnsi="Times New Roman"/>
          <w:sz w:val="18"/>
          <w:szCs w:val="18"/>
          <w:u w:val="single" w:color="auto"/>
          <w:color w:val="auto"/>
        </w:rPr>
        <w:t>Section 5(b)(ii)</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56"/>
        <w:spacing w:after="0" w:line="252" w:lineRule="auto"/>
        <w:tabs>
          <w:tab w:leader="none" w:pos="9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of this Agreement, the Company has not, directly or indirectly, offered or sold any Shares by means of any “prospectus” (within the meaning of the Securities Act) or used any “prospectus” (within the meaning of the Securities Act) in connection with the Offering, in each case other than the Base Prospectus, the Prospectus Supplement, Prospectus or any Permitted Free Writing Prospectus; the Company has not, directly or indirectly, prepared, used or referred to any Permitted Free Writing Prospectus except in compliance with Rules 164 and 433 under the Securities Act; assuming that a Permitted Free Writing Prospectus, if any, is sent or given after the Registration Statement was filed with the Commission (and after such Permitted Free Writing Prospectus, if any, was, if required pursuant to Rule 433(d) under the Securities Act, filed with the Commission), the Company will satisfy the provisions of Rule 164 or Rule 433 necessary for the use of a free writing prospectus (as defined in Rule 405) in connection with the Offering; the conditions set forth in one or more of subclauses (i) through (iv), inclusive, of Rule 433(b)(1) under the Securities Act are satisfied, and the registration statement relating to the Offering, as initially filed with the Commission, includes a prospectus that, other than by reason of Rule 433 or Rule 431 under the Securities Act, satisfies the requirements of Section 10 of the Securities Act; neither the Company nor the Agent is disqualified, by reason of subsection (f) or (g) of Rule 164 under the Securities Act, from using, in connection with the Offering, “free writing prospectuses” (as defined in Rule 405 under the Securities Act) pursuant to Rules 164 and 433 under the Securities Act; the Company is not an “ineligible issuer” (as defined in Rule 405 under the Securities Act) as of the eligibility determination date for purposes of Rules 164 and 433 under the Securities Act with respect to the offering of the Shares contemplated by the Registration Statement; the parties hereto agree and understand that the content of any and all “road shows” (as defined in Rule 433 under the Securities Act) related to the Offering is solely the property of the Company.</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9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Permitted Free Writing Prospectus, as of its issue date, each Time of Sale, each Settlement Date and at the time of delivery of each Transaction Notice, and each Bringdown Date, occurring after such issue date and at all subsequent times through the Prospectus Delivery Period or until any earlier date that the Company notified or notifies the Agent as described in </w:t>
      </w:r>
      <w:r>
        <w:rPr>
          <w:rFonts w:ascii="Times New Roman" w:cs="Times New Roman" w:eastAsia="Times New Roman" w:hAnsi="Times New Roman"/>
          <w:sz w:val="18"/>
          <w:szCs w:val="18"/>
          <w:u w:val="single" w:color="auto"/>
          <w:color w:val="auto"/>
        </w:rPr>
        <w:t>Section 3(c)(iii)</w:t>
      </w:r>
      <w:r>
        <w:rPr>
          <w:rFonts w:ascii="Times New Roman" w:cs="Times New Roman" w:eastAsia="Times New Roman" w:hAnsi="Times New Roman"/>
          <w:sz w:val="18"/>
          <w:szCs w:val="18"/>
          <w:color w:val="auto"/>
        </w:rPr>
        <w:t xml:space="preserve">, did not, does not and will not include any information that conflicted, conflicts or will conflict with the information contained in the Registration Statement, any Base Prospectus, Prospectus Supplement, or the Prospectus. The foregoing sentence does not apply to statements in or omissions from any Permitted Free Writing Prospectus based upon and in conformity with written information furnished to the Company by the Agent specifically for use therein, it being understood and agreed that only such information furnished by the Agent as of the date hereof consist of the information described in </w:t>
      </w:r>
      <w:r>
        <w:rPr>
          <w:rFonts w:ascii="Times New Roman" w:cs="Times New Roman" w:eastAsia="Times New Roman" w:hAnsi="Times New Roman"/>
          <w:sz w:val="18"/>
          <w:szCs w:val="18"/>
          <w:u w:val="single" w:color="auto"/>
          <w:color w:val="auto"/>
        </w:rPr>
        <w:t>Section 5(b)(ii)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and the Subsidiaries (as defined below), together with the related notes and supporting schedules, set forth or incorporated by reference in the Registration Statement and the Prospectus comply in all material respects with the requirements of the Securities Act and the Exchange Act and fairly present in all material respects the financial condition of the Company and the Subsidiaries, as a whole, as of the dates indicated and the results of operations and changes in cash flows for the periods therein specified in conformity with U.S. generally accepted accounting principles consistently applied throughout the periods involved. The selected financial data and the summary financial information included in the Registration Statement and in the Prospectus, as applicable, constitute a fair summary of the information purported to be summarized and have been compiled on a basis consistent with that of the audited financial statements included in the Registration Statement. No other financial statements or supporting schedules are required to be included or incorporated by reference in the Registration Statement or the Prospectus under the Securities Act except as so included or incorporated by reference. All disclosures contained in the Registration Statement or the Prospectus or incorporated by reference therein regarding “non-GAAP financial measures” (as such term is defined by the applicable rules and regulations of the Commission) comply with Regulation G of the Exchange Act and Item 10 of Regulation S-K of the Securities Act to the extent applicable. To the Company’s knowledge, GGF CPA LTD which has expressed its opinion with respect to the audited financial statements for the fiscal year ended December 31, 2025 (the “</w:t>
      </w:r>
      <w:r>
        <w:rPr>
          <w:rFonts w:ascii="Times New Roman" w:cs="Times New Roman" w:eastAsia="Times New Roman" w:hAnsi="Times New Roman"/>
          <w:sz w:val="18"/>
          <w:szCs w:val="18"/>
          <w:b w:val="1"/>
          <w:bCs w:val="1"/>
          <w:i w:val="1"/>
          <w:iCs w:val="1"/>
          <w:color w:val="auto"/>
        </w:rPr>
        <w:t>Incorporated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filed as a part of the Registration Statement and included in the Registration Statement and the Prospectus, is a registered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firm within the meaning of the Securities Act, and GGF CPA LTD, in the performance of its work for the Company, has not been in violation of the auditor independence requirements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Times New Roman" w:cs="Times New Roman" w:eastAsia="Times New Roman" w:hAnsi="Times New Roman"/>
          <w:sz w:val="18"/>
          <w:szCs w:val="18"/>
          <w:b w:val="1"/>
          <w:bCs w:val="1"/>
          <w:i w:val="1"/>
          <w:iCs w:val="1"/>
          <w:color w:val="auto"/>
        </w:rPr>
        <w:t>Off-Balance Sheet Transaction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and are required to be described in the Prospectus, which have not been described as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56"/>
        <w:spacing w:after="0" w:line="254" w:lineRule="auto"/>
        <w:tabs>
          <w:tab w:leader="none" w:pos="9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been duly organized and is validly existing as a corporation under the laws of its jurisdiction of incorporation. The Company and each of the Subsidiaries has full corporate power and authority to own its respective properties and conduct its respective businesses as currently being carried on and as described in the Registration Statement and the Prospectus, and is duly qualified to do business as a foreign corporation in good standing in each jurisdiction in which it owns or leases real property or in which the conduct of its business makes such qualification necessary and in which the failure to so qualify would have a material adverse effect upon the results of operations, business, management, properties, prospects, conditions (financial or otherwise) or operations, of the Company and the Subsidiaries, either individually or taken as a whole (“</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Adverse Effect</w:t>
      </w:r>
      <w:r>
        <w:rPr>
          <w:rFonts w:ascii="Times New Roman" w:cs="Times New Roman" w:eastAsia="Times New Roman" w:hAnsi="Times New Roman"/>
          <w:sz w:val="18"/>
          <w:szCs w:val="18"/>
          <w:color w:val="auto"/>
        </w:rPr>
        <w:t>”). The Company does not own or control, directly or indirectly, any corporation, association or other entity other than the subsidiaries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listed in Exhibit 21 to the Company’s Annual Report on Form 10-K for the fiscal year ended December 31, 2025.</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0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Prospectus, subsequent to the dates as of which information is given in the Prospectus, the Company (including its Subsidiaries on a consolidated basis) has not sustained any material loss or interference with its business from fire, explosion, flood or other calamity, whether or not covered by insurance, or from any labor dispute or court or governmental action, order or decree; incurred any material liabilities or obligations, direct or contingent, or entered into any material transactions, or declared or paid any dividends or made any distribution of any kind with respect to the capital stock of the Company; and there has not been any change in the capital stock of the Company, or issuance of options, warrants, convertible securities or other rights to purchase the capital stock of the Company, or any material change in the short-term or long-term debt of the Company (other than as a result of the exercise of any currently outstanding stock options and warrants that are disclosed in the Prospectus), or any Material Adverse Effect or any development that would reasonably be expected to result in a Material Adverse Effect. Since the date of the latest balance sheet presented in the Registration Statement and the Prospectus, neither the Company nor any Subsidiary has entered into any transactions, including any acquisition or disposition of any business or asset, which are material to the Company and the Subsidiaries taken as a whole, except for transactions which are disclosed in the Registration Statement and the Prospectus.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Prospectus, there is not pending or, to the knowledge of the Company, threatened or contemplated, any action, suit or proceeding to which the Company or any of its Subsidiaries or of which any property or assets of the Company or any of its Subsidiaries is the subject before or by any court or governmental agency, authority or body, or any arbitrator or mediator, which, individually or in the aggregate, would reasonably be expected to result in any Material Adverse Effect.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statutes, regulations, contracts or documents that are required to be described in the Registration Statement and the Prospectus or be filed as exhibits to the Registration Statement by the Securities Act that have not been so described or filed.</w:t>
      </w:r>
    </w:p>
    <w:p>
      <w:pPr>
        <w:spacing w:after="0" w:line="161"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all corporate power and authority to execute, deliver and perform its obligations under this Agreement. This Agreement has been duly authorized, executed and delivered by the Company, and constitutes a valid, legal and binding obligation of the Company, enforceable against the Company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issue and sale of the Shares, the execution, delivery and performance of this Agreement and the consummation of the transactions herein contemplated will not result in a breach or violation of any of the terms and provisions of, or constitute a default under, (i) any law, rule or regulation to which the Company or any of its Subsidiaries is subject, (ii) any agreement or instrument to which the Company or any of its Subsidiaries or by which it is bound or to which any of its property is subject, (iii) the Company’s certificate of incorporation or bylaws, each as amended to date, or the organizational documents of any of its Subsidiaries, or (iv) any order, rule, regulation or decree of any court or governmental agency or body having jurisdiction over the Company or any of its Subsidiaries or any of its properties, except, in the case of clauses (i), (ii) and (iv), for such breaches, violations or defaults that would not reasonably be expected to result in a Material Adverse Effect; no consent, approval, authorization or order of, or filing with, any court or governmental agency or body is required for the execution, delivery and performance of this Agreement or for the consummation of the transactions contemplated hereby and thereby, including the issuance or sale of the Shares by the Company, except for such consents, approvals, authorizations, orders or filings as have been obtained or made or as may be required under the Securities Act or state securities or blue sky laws; and the Company has and will have full power and authority to enter into this Agreement and to authorize, issue and sell the Shares as contemplated hereby and thereby.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56"/>
        <w:spacing w:after="0" w:line="252"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capital stock of the Company, including the outstanding Common Stock are duly authorized and validly issued, fully paid and nonassessable, have been issued in compliance with all applicable foreign, federal and state securities laws, were not issued in violation of or subject to any preemptive rights or other rights to subscribe for or purchase securities that have not been waived in writing, and the holders thereof are not subject to personal liability by reason of being such holders; all of the issued and outstanding shares of capital stock of each of the Subsidiaries, other than the variable interest entity, which is contractually controlled, are duly authorized and validly issued, fully paid and nonassessable, and are owned by the Company, directly or through wholly-owned Subsidiaries, free and clear of any security interest, mortgage, pledge, lien, encumbrance, claim or equity, have been issued in compliance with all applicable foreign, federal and state securities laws, were not issued in violation of or subject to any preemptive rights or other rights to subscribe for or purchase securities that have not been waived in writing, and the holders thereof are not subject to personal liability by reason of being such holders; the Shares which may be sold under this Agreement by the Company have been duly authorized and, when issued, delivered and paid for in accordance with the terms of this Agreement will have been validly issued and will be fully paid and nonassessable, and the holders thereof will not be subject to personal liability solely by reason of being such holders; and the capital stock of the Company, including the Common Stock, conforms in all material respects to the description thereof in the Registration Statement and the Prospectus. Except as otherwise stated in the Registration Statement and the Prospectus, there are no preemptive rights or other rights to subscribe for or to purchase, or any restriction upon the voting or transfer of, any Common Stock pursuant to the Company’s certificate of incorporation, as amended, or any agreement or other instrument to which the Company is a party or by which the Company is bound. Except as described in the Registration Statement and the Prospectus, there are no options, shares of preferred stock, restricted stock units, stock appreciation rights, warrants, convertible securities, agreements, contracts or other rights in existence to purchase or acquire from the Company any shares of the capital stock of the Company. The Company has an authorized and outstanding capitalization as set forth in the Registration Statement and the Prospectus as of the dates set forth therein and the issued and outstanding securities conform in all material respects to the descriptions thereof contained in the Registration Statement and the Prospectus.</w:t>
      </w:r>
    </w:p>
    <w:p>
      <w:pPr>
        <w:spacing w:after="0" w:line="190" w:lineRule="exact"/>
        <w:rPr>
          <w:rFonts w:ascii="Times New Roman" w:cs="Times New Roman" w:eastAsia="Times New Roman" w:hAnsi="Times New Roman"/>
          <w:sz w:val="18"/>
          <w:szCs w:val="18"/>
          <w:color w:val="auto"/>
        </w:rPr>
      </w:pPr>
    </w:p>
    <w:p>
      <w:pPr>
        <w:jc w:val="both"/>
        <w:ind w:firstLine="656"/>
        <w:spacing w:after="0" w:line="252" w:lineRule="auto"/>
        <w:tabs>
          <w:tab w:leader="none" w:pos="10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holds, and is operating in compliance with all grants, authorizations, licenses, permits, consents, certificates and orders of any governmental or self-regulatory body required for the conduct of its respective businesses and all such grants, authorizations, licenses, permits, consents, certifications and orders are valid and in full force and effect, except for such noncompliance or failures to be in full force and effect that would not reasonably be expected to result in a Material Adverse Effect; and neither the Company nor any of its Subsidiaries has received notice of any revocation or modification of any such grant, authorization, license, permit, consent, certification or order or has reason to believe that any such grant, authorization, license, permit, consent, certification or order will not be renewed in the ordinary course; and the Company and each of its Subsidiaries is in compliance with all applicable federal, state, local and foreign laws, regulations, orders and decrees, except for such noncompliance that would not reasonably be expected to result in a Material Adverse Effect. No approval, authorization, consent or order of or filing with any foreign, federal, state or local governmental or regulatory commission, board, body, authority or agency is required in connection with the issuance and sale of the Shares or the consummation by the Company of the transactions contemplated hereby, other than (i) registration of the Shares under the Securities Act, (ii) any necessary qualification under the securities or blue sky laws of the various jurisdictions in which the Shares are being offered by the Agent, (iii) the filing of any reports under the Exchange Act, (iv) such approvals as may be required by the Conduct Rules of the Financial Industry Regulatory Authority, Inc.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(v) the consent of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in the event that Nasdaq raises an objection to the Listing of Additional Shares Notification Form filed to facilitate the listing of the Shares on the Nasdaq Capital Market, (vi) filing with the China Securities Regulatory Commission (the “</w:t>
      </w:r>
      <w:r>
        <w:rPr>
          <w:rFonts w:ascii="Times New Roman" w:cs="Times New Roman" w:eastAsia="Times New Roman" w:hAnsi="Times New Roman"/>
          <w:sz w:val="18"/>
          <w:szCs w:val="18"/>
          <w:b w:val="1"/>
          <w:bCs w:val="1"/>
          <w:i w:val="1"/>
          <w:iCs w:val="1"/>
          <w:color w:val="auto"/>
        </w:rPr>
        <w:t>CSRC</w:t>
      </w:r>
      <w:r>
        <w:rPr>
          <w:rFonts w:ascii="Times New Roman" w:cs="Times New Roman" w:eastAsia="Times New Roman" w:hAnsi="Times New Roman"/>
          <w:sz w:val="18"/>
          <w:szCs w:val="18"/>
          <w:color w:val="auto"/>
        </w:rPr>
        <w:t>”) mandated pursuant to the CSRC’s Overseas Listing Trial Measures and related guidelines which became effective on March 31, 2023, if necessary, or (vii) such approvals as have been obtained or made as of the Time of Sale.</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0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good and marketable title to all property (whether real or personal) described in the Registration Statement and the Prospectus as being owned by it, in each case free and clear of all liens, claims, security interests, other encumbrances or defects except such as are described in the Registration Statement and the Prospectus, except as would not materially impair the use or value thereof. The property held under lease by the Company and each of its Subsidiaries is held by it under valid, subsisting and enforceable leases with only such exceptions with respect to any particular lease as do not interfere in any material respect with the conduct of the business of the Company or such Subsidiary.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56"/>
        <w:spacing w:after="0" w:line="252" w:lineRule="auto"/>
        <w:tabs>
          <w:tab w:leader="none" w:pos="10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owns, possesses, or can acquire on reasonable terms, all Intellectual Property (as defined below) necessary for the conduct of their respective businesses as now conducted or as described in the Registration Statement and the Prospectus to be conducted. Except as would not result in a Material Adverse Effect, (A) there are no rights of third parties to any such Intellectual Property owned by the Company, except as otherwise disclosed to the Agent in writing by the Company prior to the date hereof; (B) to the knowledge of the Company, there is no infringement, misappropriation or violation by third parties of any such Intellectual Property; (C) there is no pending or, to the knowledge of the Company, threatened, action, suit, proceeding or claim by others challenging the Company’s or any Subsidiary’s rights in or to any such Intellectual Property, and the Company is unaware of any facts which would form a reasonable basis for any such claim; (D) the Intellectual Property owned by the Company and each of the Subsidiaries, and to the knowledge of the Company, the Intellectual Property licensed to the Company and each of the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nor any of the Subsidiaries has received any written notice of such claim; and (F)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shall mean all patents, patent applications, trade and service marks, trade and service mark registrations, trade names, copyrights, licenses, inventions, trade secrets, domain names, technology, know-how and other intellectual property.</w:t>
      </w:r>
    </w:p>
    <w:p>
      <w:pPr>
        <w:spacing w:after="0" w:line="190" w:lineRule="exact"/>
        <w:rPr>
          <w:rFonts w:ascii="Times New Roman" w:cs="Times New Roman" w:eastAsia="Times New Roman" w:hAnsi="Times New Roman"/>
          <w:sz w:val="18"/>
          <w:szCs w:val="18"/>
          <w:color w:val="auto"/>
        </w:rPr>
      </w:pPr>
    </w:p>
    <w:p>
      <w:pPr>
        <w:jc w:val="both"/>
        <w:ind w:firstLine="656"/>
        <w:spacing w:after="0" w:line="255" w:lineRule="auto"/>
        <w:tabs>
          <w:tab w:leader="none" w:pos="10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in violation of its certificate of incorporation, as amended, or similar organizational documents, or (B) in breach of or otherwise in default, and no event has occurred which, with notice or lapse of time or both, would constitute such a default in the performance of any material obligation, agreement or condition contained in any bond, debenture, note, indenture, loan agreement, mortgage, deed of trust or any other material contract, lease or other instrument to which it is subject or by which any of them may be bound, or to which any of the material property or assets of the Company or any of its Subsidiaries is subject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or (C) in violation of any law or statute or any judgment, order, rule or regulation of any court or arbitrator or governmental or regulatory authority, except in the case of (B) and (C) above, as could not, individually or in the aggregate,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0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has timely filed all applicable federal, state, local, foreign and other income and franchise tax returns required to be filed, which are material and would have a Material Adverse Effect, and are not in default in the payment of any taxes which were payable pursuant to said returns or any assessments with respect thereto, other than any which the Company or any of its Subsidiaries is contesting in good faith. There is no pending dispute with any taxing authority relating to any of such returns, and the Company has no knowledge of any proposed liability for any tax to be imposed upon the properties or assets of the Company or any of its Subsidiaries for which there is not an adequate reserve reflected in the Company’s financial statements included in the Registration Statement. There are no documentary, stamp or other issuance or transfer taxes or duties or similar fees or charges under U.S. federal law or the laws of any U.S. state, required to be paid in connection with the execution and delivery of this Agreement or the issuance, sale and delivery by the Company of the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56"/>
        <w:spacing w:after="0" w:line="261" w:lineRule="auto"/>
        <w:tabs>
          <w:tab w:leader="none" w:pos="10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distributed and will not distribute any prospectus or other offering material in connection with the Offering other than the Registration Statement and the Prospectus or other materials permitted by the Securities Act to be distributed by the Company; provided, however, that the Company has not made and will not make any offer relating to the Shares that would constitute a “free writing prospectus” as defined in Rule 405 under the Securities Act, except in accordance with the provisions of </w:t>
      </w:r>
      <w:r>
        <w:rPr>
          <w:rFonts w:ascii="Times New Roman" w:cs="Times New Roman" w:eastAsia="Times New Roman" w:hAnsi="Times New Roman"/>
          <w:sz w:val="18"/>
          <w:szCs w:val="18"/>
          <w:u w:val="single" w:color="auto"/>
          <w:color w:val="auto"/>
        </w:rPr>
        <w:t>Section 3(o)</w:t>
      </w:r>
      <w:r>
        <w:rPr>
          <w:rFonts w:ascii="Times New Roman" w:cs="Times New Roman" w:eastAsia="Times New Roman" w:hAnsi="Times New Roman"/>
          <w:sz w:val="18"/>
          <w:szCs w:val="18"/>
          <w:color w:val="auto"/>
        </w:rPr>
        <w:t xml:space="preserve">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16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the Shares as contemplated in this Agreement does not contravene the rules and regulations of Nasdaq. The Common Stock is registered pursuant to Section 12(b) of the Exchange Act and is listed on the Nasdaq Capital Market and the Company has taken no action designed to, or likely to have the effect of, terminating the registration of the Common Stock under the Exchange Act or delisting the Common Stock from the Nasdaq Capital Market nor has the Company received any notification that the Commission or Nasdaq is contemplating terminating such registration or listing. The Company has complied in all material respects with the applicable requirements of Nasdaq for maintenance of the listing of the Common Stock on the Nasdaq Capital Market. The Company will file a Listing of Additional Shares Notification Form with Nasdaq with respect to the Shares as soon as practicable following the date of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312" w:lineRule="auto"/>
        <w:tabs>
          <w:tab w:leader="none" w:pos="1043"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with respect to the Subsidiaries, the Company does not own, directly or indirectly, any shares of stock or any other equity or long-term debt securities of any other corporation or have any equity interest in any other corporation, partnership, joint venture, association, trust or other entity.</w:t>
      </w:r>
    </w:p>
    <w:p>
      <w:pPr>
        <w:spacing w:after="0" w:line="139" w:lineRule="exact"/>
        <w:rPr>
          <w:rFonts w:ascii="Times New Roman" w:cs="Times New Roman" w:eastAsia="Times New Roman" w:hAnsi="Times New Roman"/>
          <w:sz w:val="17"/>
          <w:szCs w:val="17"/>
          <w:color w:val="auto"/>
        </w:rPr>
      </w:pPr>
    </w:p>
    <w:p>
      <w:pPr>
        <w:jc w:val="both"/>
        <w:ind w:firstLine="656"/>
        <w:spacing w:after="0" w:line="255"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established and maintain systems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reflected on the Company’s consolidated balance sheet for assets are compared with existing assets at reasonable intervals and appropriate action is taken with respect to any differences. Since the filing of the Company’s Annual Report on Form 10-K for the fiscal year ended December 31, 2025 with the Commission, there has been (i) no material weakness identified to the Company’s board of directors (or committee thereof) in the Company’s internal control over financial reporting (whether or not remediated) other than as described in Item 9A –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xml:space="preserve"> of such Annual Report, and (ii) no change in the Company’s internal control over financial reporting that has materially affected, or is reasonably likely to materially affect, the Company’s internal control over financial reporting.</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10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(A) is and at all times since January 1, 2026 has been in material compliance with all United States (federal, state and local) and foreign statutes, rules, regulations, treaties, or guidance applicable to the Company or the Subsidiaries (“</w:t>
      </w:r>
      <w:r>
        <w:rPr>
          <w:rFonts w:ascii="Times New Roman" w:cs="Times New Roman" w:eastAsia="Times New Roman" w:hAnsi="Times New Roman"/>
          <w:sz w:val="18"/>
          <w:szCs w:val="18"/>
          <w:b w:val="1"/>
          <w:bCs w:val="1"/>
          <w:i w:val="1"/>
          <w:iCs w:val="1"/>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(B) since January 1, 2026 has not received any notice of adverse finding, warning letter, untitled letter or other correspondence or notice from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Governmental Authority (as defined below) alleging or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i w:val="1"/>
          <w:iCs w:val="1"/>
          <w:color w:val="auto"/>
        </w:rPr>
        <w:t>Authorizations</w:t>
      </w:r>
      <w:r>
        <w:rPr>
          <w:rFonts w:ascii="Times New Roman" w:cs="Times New Roman" w:eastAsia="Times New Roman" w:hAnsi="Times New Roman"/>
          <w:sz w:val="18"/>
          <w:szCs w:val="18"/>
          <w:color w:val="auto"/>
        </w:rPr>
        <w:t>”); (C) since January 1, 2026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intends to assert any such claim, litigation, arbitration, action, suit, investigation or proceeding; (D) since January 1, 2026 has not received notice that any Governmental Authority has taken, is taking or intends to take action to limit, suspend, modify or revoke any Authorizations and the Company has no knowledge that any such Governmental Authority is considering such action; and (E)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 “</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provincial, state, local, foreign or other governmental or quasi-governmental agency or body or any other type of regulatory authority or body, including, without limitation, Nasdaq. The aggregate of all pending legal or governmental proceedings to which the Company or any Subsidiary is a party or of which any of their respective property or assets is the subject which are not described in the Registration Statement and the Prospectus, including ordinary routine litigation incidental to the business, would not result in a Material Adverse Effect.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56"/>
        <w:spacing w:after="0" w:line="261"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this Agreement, the Company has not incurred any liability for any finder’s or broker’s fee or agent’s commission in connection with the execution and delivery of this Agreement or the consummation of the transactions contemplated hereby. The Company has not entered into any other sales agency agreements or other similar arrangements with any agent or any other representative in respect of “at the market” offerings of the Shares in accordance with Rule 415 under the Securities Act.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1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carries, or is covered by, insurance in such amounts and covering such risks the Company reasonably believes are adequate for the conduct of its respective business and the value of its properties and as is customary for companies engaged in similar businesses in similar industries; all policies of insurance insuring the Company, each of its Subsidiaries and their respective businesses, assets, employees, officers and directors are in full force and effect; the Company and each of its Subsidiaries is in compliance with the terms of such policies in all material respects; there are no claims by the Company or any of the Subsidiaries under any such policy as to which any insurance company is denying liability or defending under a reservation of rights clause; neither the Company nor any of the Subsidiaries has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is not an affiliate of), and immediately after receipt of payment for the Shares, will not be (and will not be an affiliate of), an “investment company” within the meaning of the Investment Company Act of 1940, as amended. The Company currently intends to conduct its business in a manner so that it will not become subject to registration under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0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Incorporated Documents, at the time they were or hereinafter are filed with the Commission, conformed and will conform in all material respects to the requirements of the Securities Act and the Exchange Act, and were filed on a timely basis with the Commission and no Incorporated Document contained or will contain an untrue statement of a material fact or omitted to state a material fact necessary to make the statements therein, in the light of the circumstances under which they were made, not misleading; provided, that, no representation is made herein regarding the representations, warranties and covenants, or any descriptions thereof, contained in any agreements or documents included as exhibits to the Incorporated Documents. There is no material document required to be described in the Registration Statement or the Prospectus or to be filed as an exhibit to the Registration Statement which was not described or filed as required. All material agreements of the Company and all agreements governing or evidencing any and all related party transactions have been filed with the Commission to the extent required and applicable under the Exchange Act. Neither the Company nor any Subsidiaries has sent or received any communication regarding termination of, or intent not to renew, any of the contracts or agreements referred to or described in the Registration Statement and the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Any descriptions of the terms of any of the foregoing contracts and agreements that are contained in the Registration Statement and the Prospectus are accurate and complete in all material respects.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1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all applicable provisions of the Sarbanes-Oxley Act and the rules and regulations of the Commission thereunder.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56"/>
        <w:spacing w:after="0" w:line="254" w:lineRule="auto"/>
        <w:tabs>
          <w:tab w:leader="none" w:pos="11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established and maintains disclosure controls and procedures (within the meaning of Rule 13a-15(e) of the Exchange Act) and such controls and procedures are designed to ensure that information required to be disclosed in the reports that the Company files or submits under the Exchange Act is recorded, processed, summarized and reported within the time periods specified in the rules and forms of the Commission and that such information is accumulated and communicated to the Company’s management, including its Chief Executive Officer and Chief Financial Officer, as appropriate, to allow timely decisions regarding required disclosure. The Company has utilized such controls and procedures in preparing and evaluating the disclosures in the Registration Statement and the Prospectus. As described in Item 9A –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xml:space="preserve"> of the Company’s Annual Report on Form 10-K for the fiscal year ended December 31, 2025, the Company’s Chief Executive Officer and Chief Financial Officer have concluded that due to the existence of material weaknesses in the Company’s internal controls over financial reporting, the Company’s disclosure controls and procedures were not completely effective as of December 31, 2025, and a remediation plan is being implemented.</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the Subsidiaries, nor any director, officer, agent, employee or affiliate of the Company or any Subsidiary, has taken any action directly or indirectly, that would result in a violation by such persons of the FCPA (as defined below),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each of its Subsidiaries has conducted its business in compliance with the FCPA and has instituted and maintains policies and procedures designed to ensure, and which are reasonably expected to continue to ensure, continued compliance therewith.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means the Foreign Corrupt Practices Act of 1977, as amended, and the rules and regulations thereunder.</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1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complied in all material respects with the money laundering statutes of applicable jurisdictions, the rules and regulations thereunder and any related or similar rules, regulations or guidelines, issued, administered or enforced by applicable governmental agencies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its Subsidiaries, nor, to the knowledge of the Company, any director, officer, employee, representative, agent, or affiliate of the Company or any of its Subsidiaries is currently subject to any U.S. sanctions administered by the Office of Foreign Assets Control of the U.S. Department of the Treasury.</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1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transaction has occurred or agreement or understanding entered into between or among the Company or any of its Subsidiaries on the one hand, and any officer, director or 5% or greater stockholder of the Company or any Subsidiary of the Company or any affiliate or affiliates of any such officer, director or 5% or greater stockholder that is required to be described that is not so described in the Registration Statement and the Prospectus. Neither the Company nor any of its Subsidiaries has, directly or indirectly, extended or maintained credit, or arranged for the extension of credit, or renewed an extension of credit, in the form of a personal loan to or for any of its directors or executive officers in violation of applicable laws, including Section 402 of the Sarbanes-Oxley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56"/>
        <w:spacing w:after="0" w:line="251" w:lineRule="auto"/>
        <w:tabs>
          <w:tab w:leader="none" w:pos="1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Neither the Company nor any of its Subsidiaries is in violation of any applicable international, national, state or local convention, law, regulation, order, governmental license, convention, treaty (including those promulgated by the International Maritime Organization) or other requirement relating to pollution or protection of human health or safety (as they relate to exposure to Materials of Environmental Concern (as defined below)) or protection of the environment (including, without limitation, ambient air, surface water, groundwater, land surface or subsurface strata) or protection of natural resources, including without limitation, conventions, laws or regulations relating to emissions, discharges, releases or threatened releases of chemicals, pollutants, contaminants, wastes, toxic substances, hazardous substances, petroleum, petroleum products or other hydrocarbons (collectively, “</w:t>
      </w:r>
      <w:r>
        <w:rPr>
          <w:rFonts w:ascii="Times New Roman" w:cs="Times New Roman" w:eastAsia="Times New Roman" w:hAnsi="Times New Roman"/>
          <w:sz w:val="18"/>
          <w:szCs w:val="18"/>
          <w:b w:val="1"/>
          <w:bCs w:val="1"/>
          <w:i w:val="1"/>
          <w:iCs w:val="1"/>
          <w:color w:val="auto"/>
        </w:rPr>
        <w:t>Materials of Environmental Concern”</w:t>
      </w:r>
      <w:r>
        <w:rPr>
          <w:rFonts w:ascii="Times New Roman" w:cs="Times New Roman" w:eastAsia="Times New Roman" w:hAnsi="Times New Roman"/>
          <w:sz w:val="18"/>
          <w:szCs w:val="18"/>
          <w:color w:val="auto"/>
        </w:rPr>
        <w:t>), or otherwise relating to the manufacture, processing, distribution, use, treatment, storage, disposal, transport or handling of Materials of Environmental Concern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nor has the Company or any Subsidiary received any written communication, whether from a Governmental Authority, citizens group, employee or otherwise, that alleges that the Company or any such Subsidiary is in violation of any Environmental Law or governmental license required pursuant to Environmental Law; except, in each case, as would not, individually or in the aggregate, have a Material Adverse Effect; (b) there is no claim, action or cause of action filed with a court or Governmental Authority and no investigation, or other action with respect to which the Company or any Subsidiary has received written notice alleging potential liability for investigatory costs, cleanup costs, governmental response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Subsidiary, now or in the past, or from any vessel owned, leased or operated by the Company or any Subsidiary, now or in the past (collectively, “</w:t>
      </w:r>
      <w:r>
        <w:rPr>
          <w:rFonts w:ascii="Times New Roman" w:cs="Times New Roman" w:eastAsia="Times New Roman" w:hAnsi="Times New Roman"/>
          <w:sz w:val="18"/>
          <w:szCs w:val="18"/>
          <w:b w:val="1"/>
          <w:bCs w:val="1"/>
          <w:i w:val="1"/>
          <w:iCs w:val="1"/>
          <w:color w:val="auto"/>
        </w:rPr>
        <w:t>Environmental Claim”</w:t>
      </w:r>
      <w:r>
        <w:rPr>
          <w:rFonts w:ascii="Times New Roman" w:cs="Times New Roman" w:eastAsia="Times New Roman" w:hAnsi="Times New Roman"/>
          <w:sz w:val="18"/>
          <w:szCs w:val="18"/>
          <w:color w:val="auto"/>
        </w:rPr>
        <w:t>), pending or, to the knowledge of the Company, threatened against the Company or any Subsidiary or any person or entity whose liability for any Environmental Claim the Company or any Subsidiary has retained or assumed either contractually or by operation of law, except as would not, individually or in the aggregate, have a Material Adverse Effect; (c) to the knowledge of the Company, there are no past or present actions, activities, circumstances, conditions, events or incidents, including, without limitation, the release, emission, discharge, presence or disposal of any Material of Environmental Concern, that reasonably would be expected to result in a violation of any Environmental Law, require expenditures to be incurred pursuant to Environmental Law, or form the basis of an Environmental Claim against the Company, any Subsidiary or against any person or entity whose liability for any Environmental Claim the Company or any Subsidiary has retained or assumed either contractually or by operation of law, except as would not, individually or in the aggregate, have a Material Adverse Effect (for the avoidance of doubt, the operation of vessels in the ordinary course of business shall not be deemed, by itself, an action, activity, circumstance or condition set forth in this clause (c)); and (d) none of the Company or any Subsidiary is subject to any pending proceeding under Environmental Law to which a Governmental Authority is a party and which the Company reasonably believes is likely to result in monetary sanctions of US$100,000 or more. Any existing compliance and remediation costs and liabilities arising under Environmental Laws and resulting from the business, operations or properties of the Company or any Subsidiary would not, individually or in the aggregate, reasonably be expected to have a Material Adverse Effect. No facts or circumstances have come to the Company’s attention that could result in costs or liabilities that could be expected, individually or in the aggregate, to have a Material Adverse Effect.</w:t>
      </w:r>
    </w:p>
    <w:p>
      <w:pPr>
        <w:spacing w:after="0" w:line="202" w:lineRule="exact"/>
        <w:rPr>
          <w:rFonts w:ascii="Times New Roman" w:cs="Times New Roman" w:eastAsia="Times New Roman" w:hAnsi="Times New Roman"/>
          <w:sz w:val="18"/>
          <w:szCs w:val="18"/>
          <w:color w:val="auto"/>
        </w:rPr>
      </w:pPr>
    </w:p>
    <w:p>
      <w:pPr>
        <w:jc w:val="both"/>
        <w:ind w:firstLine="656"/>
        <w:spacing w:after="0" w:line="254" w:lineRule="auto"/>
        <w:tabs>
          <w:tab w:leader="none" w:pos="12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(A) is in compliance, in all material respects, with applicable foreign, federal, state and local laws, rules, regulations, statutes and codes promulgated by applicable governmental authorities (including pursuant to the Occupational Health and Safety Act) relating to the protection of human health and safety in the workplace (“</w:t>
      </w:r>
      <w:r>
        <w:rPr>
          <w:rFonts w:ascii="Times New Roman" w:cs="Times New Roman" w:eastAsia="Times New Roman" w:hAnsi="Times New Roman"/>
          <w:sz w:val="18"/>
          <w:szCs w:val="18"/>
          <w:b w:val="1"/>
          <w:bCs w:val="1"/>
          <w:i w:val="1"/>
          <w:iCs w:val="1"/>
          <w:color w:val="auto"/>
        </w:rPr>
        <w:t>Occupational Laws</w:t>
      </w:r>
      <w:r>
        <w:rPr>
          <w:rFonts w:ascii="Times New Roman" w:cs="Times New Roman" w:eastAsia="Times New Roman" w:hAnsi="Times New Roman"/>
          <w:sz w:val="18"/>
          <w:szCs w:val="18"/>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problem or dispute with the employees of the Company or any of its Subsidiaries exists or, to the knowledge of the Company, is threatened or imminent.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1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and to its knowledge no one acting on its behalf has, (a) taken, directly or indirectly, any action designed to cause or to result in the stabilization or manipulation of the price of any security of the Company to facilitate the sale or resale of any of the Shares, (b) sold, bid for, purchased, or paid any compensation for soliciting purchases of, any of the Shares or (c) paid or agreed to pay to any person any compensation for soliciting another to purchase any other securities of the Company, other than, in the case of clauses (b) and (c), compensation paid to the Agent in connection with the sale of the Shares.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Agent, no person or entity has the right to act as a placement agent, underwriter or as a financial advisor in connection with the sale of the Shares contemplated hereby, and the Company is not a party to any agreement with an agent or underwriter for any other “at the market” offering or continuous equity transaction.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transaction, arrangement or other relationship between the Company or any of its Subsidiaries and an unconsolidated or other off balance sheet entity that is required to be disclosed by the Company in the Registration Statement or the Prospectus and is not so disclosed or that otherwise could be reasonably likely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56"/>
        <w:spacing w:after="0" w:line="256" w:lineRule="auto"/>
        <w:tabs>
          <w:tab w:leader="none" w:pos="13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Subsidiaries, or any of their respective affiliates, nor any person or entity acting on their behalf (excluding the Agent) has, directly or indirectly, made any offers or sales of any security or solicited any offers to buy any security, under circumstances that would cause the transactions contemplated by this Agreement to require approval of stockholders of the Company under any applicable stockholder approval provisions, including, without limitation, under the rules and regulations of Nasdaq. None of the Company, its Subsidiaries, their affiliates nor any person or entity acting on their behalf will take any action or steps that would cause the offering of any of the Shares to be integrated with other offerings of securities of the Company.</w:t>
      </w:r>
    </w:p>
    <w:p>
      <w:pPr>
        <w:spacing w:after="0" w:line="187"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and market-related data included in the Registration Statement and the Prospectus are based on or derived from sources that the Company believes to be reliable and accurate and, to the extent required, the Company has obtained the written consent to the use of such data from such sources.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(xl) The Registration Statement is not the subject of a pending proceeding or examination under Section 8(d) or 8(e) of the Securities Act, and the Company is not the subject of a pending proceeding under Section 8A of the Securities Act in connection with the offering of the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(xli)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as amended, or the laws of the State of Delaware that is or could become applicable to the purchasers of the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(xlii) Neither the Company nor any Subsidiary or any of their respective properties or assets has any immunity from the jurisdiction of any court or from any legal process (whether through service or notice, attachment prior to judgment, attachment in aid of execution or otherwise) under the laws of the United States or any political subdivisions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(xliii) The Company is not a “foreign private issuer” as defined in Rule 405 promulgated under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(xliv) The Company did not qualify as a “passive foreign investment company” within the meaning of Section 1297 of the United States Internal Revenue Code of 1986, as amended, for its most recently completed taxable year, if 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(xlv) Each “forward-looking statement” (within the meaning of Section 27A of the Securities Act or Section 21E of the Exchange Act) contained in the Registration Statement and the Prospectus has been made or reaffirmed with a reasonable basis and has been disclosed in good faith.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(xlvi)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(xlvii) At the time the Registration Statement was or will be filed with the Commission, at the time the Registration Statement was or will be declared effective by the Commission, and at the time the Company’s most recent Annual Report on Form 10-K was filed with the Commission, the Company met or will meet the then applicable requirements for the use of Form S-3 under the Securities Act, including, but not limited to, General Instruction I.B.1. of Form S-3, if and for so long as applicable. As of the close of trading on the Nasdaq Capital Market on April 28, 2026,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i w:val="1"/>
          <w:iCs w:val="1"/>
          <w:u w:val="single" w:color="auto"/>
          <w:color w:val="auto"/>
        </w:rPr>
        <w:t>Non-Affiliate Shares</w:t>
      </w:r>
      <w:r>
        <w:rPr>
          <w:rFonts w:ascii="Times New Roman" w:cs="Times New Roman" w:eastAsia="Times New Roman" w:hAnsi="Times New Roman"/>
          <w:sz w:val="18"/>
          <w:szCs w:val="18"/>
          <w:color w:val="auto"/>
        </w:rPr>
        <w:t>”), was approximately $166,708,418.28 (calculated by multiplying (a) the price at which the common equity of the Company was last sold on the Exchange ($4.19) on January 30, 2026 by (b) the number of Non-Affiliate Shares (39,787,212) outstanding on January 30, 2026).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(xlviii) (i) Except as may be included or incorporated by reference in the Registration Statement and the Prospectus, (a) to the Company’s knowledge, there has been no material security breach or other material compromise of or relating to any of the Company’s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8"/>
          <w:szCs w:val="18"/>
          <w:b w:val="1"/>
          <w:bCs w:val="1"/>
          <w:i w:val="1"/>
          <w:iCs w:val="1"/>
          <w:u w:val="single" w:color="auto"/>
          <w:color w:val="auto"/>
        </w:rPr>
        <w:t>IT Systems and Data</w:t>
      </w:r>
      <w:r>
        <w:rPr>
          <w:rFonts w:ascii="Times New Roman" w:cs="Times New Roman" w:eastAsia="Times New Roman" w:hAnsi="Times New Roman"/>
          <w:sz w:val="18"/>
          <w:szCs w:val="18"/>
          <w:color w:val="auto"/>
        </w:rPr>
        <w:t>”) and do not result in a legal or contractual obligation of the Company to notify any other person about such occurrence; and (b) the Company has not been notified of, and has no knowledge of any event or condition that would reasonably be expected to result in, any material security breach or other material compromise to their IT Systems and Data;</w:t>
      </w:r>
    </w:p>
    <w:p>
      <w:pPr>
        <w:spacing w:after="0" w:line="5" w:lineRule="exact"/>
        <w:rPr>
          <w:sz w:val="20"/>
          <w:szCs w:val="20"/>
          <w:color w:val="auto"/>
        </w:rPr>
      </w:pPr>
    </w:p>
    <w:p>
      <w:pPr>
        <w:jc w:val="both"/>
        <w:ind w:firstLine="8"/>
        <w:spacing w:after="0" w:line="253" w:lineRule="auto"/>
        <w:tabs>
          <w:tab w:leader="none" w:pos="2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presently in compliance with all material applicable laws or statutes and all judgments, orders, rules and regulations of any court or arbitrator or governmental or regulatory authority,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result in a Material Adverse Effect; and (iii) the Company has implemented backup and disaster recovery technology consistent with industry standards and practices</w:t>
      </w:r>
    </w:p>
    <w:p>
      <w:pPr>
        <w:spacing w:after="0" w:line="186" w:lineRule="exact"/>
        <w:rPr>
          <w:rFonts w:ascii="Times New Roman" w:cs="Times New Roman" w:eastAsia="Times New Roman" w:hAnsi="Times New Roman"/>
          <w:sz w:val="18"/>
          <w:szCs w:val="18"/>
          <w:color w:val="auto"/>
        </w:rPr>
      </w:pPr>
    </w:p>
    <w:p>
      <w:pPr>
        <w:ind w:firstLine="656"/>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signed by any officer of the Company and delivered to the Agent or the Agent’s counsel shall be deemed a representation and warranty by the Company to the Agent as to the matters covered thereby.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Bringdown Date (as defined herein) and each Time of Sale, the Company shall be deemed to have affirmed each representation and warranty contained in or made pursuant to this Agreement as of such date as though made at and as of such date (except that such representations and warranties shall be deemed to relate to the Registration Statement and the Prospectus, as amended and supplemented, relating to such Shares on such date).</w:t>
      </w:r>
    </w:p>
    <w:p>
      <w:pPr>
        <w:spacing w:after="0" w:line="17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Purchase, Sale and Delivery of Shares.</w:t>
      </w:r>
    </w:p>
    <w:p>
      <w:pPr>
        <w:spacing w:after="0" w:line="227" w:lineRule="exact"/>
        <w:rPr>
          <w:sz w:val="20"/>
          <w:szCs w:val="20"/>
          <w:color w:val="auto"/>
        </w:rPr>
      </w:pPr>
    </w:p>
    <w:p>
      <w:pPr>
        <w:jc w:val="both"/>
        <w:ind w:firstLine="656"/>
        <w:spacing w:after="0" w:line="252" w:lineRule="auto"/>
        <w:tabs>
          <w:tab w:leader="none" w:pos="8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 the Market Sales</w:t>
      </w:r>
      <w:r>
        <w:rPr>
          <w:rFonts w:ascii="Times New Roman" w:cs="Times New Roman" w:eastAsia="Times New Roman" w:hAnsi="Times New Roman"/>
          <w:sz w:val="18"/>
          <w:szCs w:val="18"/>
          <w:color w:val="auto"/>
        </w:rPr>
        <w:t>. On the basis of the representations, warranties and agreements herein the Company agrees that, from time to time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 of this Agreement, on the terms and subject to the conditions set forth herein, it may issue and sell through the Agent or any of its sub-agent(s) or other designees, acting as sales agent, the Shares up to an aggregate offering price of US$300,000,000; provided, however, that in no event shall the Company issue or sell through the Agent such number of Shares that (a) exceeds the number or dollar amount of Common Stock registered on the Registration Statement, pursuant to which the Offering is being made, (b) exceeds the number of authorized but unissued Common Stock under the Company’s certificate of incorporation, as amended, (c) would cause the Company or the offering of the Shares to not satisfy the eligibility and transaction requirements for use of Form S-3 (including General Instruction I.B.1 of Form S-3), (d) or dollar amount of Shares of Common Stock that exceeds the amount authorized from time to time to be issued and sold under this Agreement by the Company’s board of directors, a duly authorized committee thereof or a duly authorized executive committee, and notified to the Agent in writing, or (e) exceeds the number or dollar amount of Shares of Common Stock for which the Company has filed the Prospectus or other prospectus supplement specifically relating to the offering of the Shares pursuant to this Agreement (the lesser of (a), (b), (c), (d) and (e), the “</w:t>
      </w:r>
      <w:r>
        <w:rPr>
          <w:rFonts w:ascii="Times New Roman" w:cs="Times New Roman" w:eastAsia="Times New Roman" w:hAnsi="Times New Roman"/>
          <w:sz w:val="18"/>
          <w:szCs w:val="18"/>
          <w:b w:val="1"/>
          <w:bCs w:val="1"/>
          <w:i w:val="1"/>
          <w:iCs w:val="1"/>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on the number and aggregate sales price of Shares issued and sold under this Agreement shall be the sole responsibility of the Company and that Agent shall have no obligation in connection with such compliance. Notwithstanding the foregoing, the Company agrees that it will provide the Agent with written notice no less than one (1) business day prior to the date on which it makes the initial sale of Shares under this Agreement. As used herein, the terms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Sunday or any federal holiday in the United States) in which commercial banks in New York, New York are open for business.</w:t>
      </w:r>
    </w:p>
    <w:p>
      <w:pPr>
        <w:spacing w:after="0" w:line="197" w:lineRule="exact"/>
        <w:rPr>
          <w:sz w:val="20"/>
          <w:szCs w:val="20"/>
          <w:color w:val="auto"/>
        </w:rPr>
      </w:pPr>
    </w:p>
    <w:p>
      <w:pPr>
        <w:jc w:val="both"/>
        <w:ind w:firstLine="656"/>
        <w:spacing w:after="0" w:line="266" w:lineRule="auto"/>
        <w:tabs>
          <w:tab w:leader="none" w:pos="8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selling the Shares through the Agent, the Company hereby appoints the Agent as exclusive agent of the Company for the purpose of soliciting purchases of the Shares from the Company pursuant to this Agreement and the Agent agrees to use its commercially reasonable efforts to sell the Shares on the terms and subject to the conditions stated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56"/>
        <w:spacing w:after="0" w:line="252" w:lineRule="auto"/>
        <w:tabs>
          <w:tab w:leader="none" w:pos="9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the Company wishes to issue and sell the Shares hereunder (each, a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xml:space="preserve">”), it will notify the Agent by telephone (confirmed promptly by e-mail to the appropriate individual listed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using a form substantially similar to that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b w:val="1"/>
          <w:bCs w:val="1"/>
          <w:i w:val="1"/>
          <w:iCs w:val="1"/>
          <w:color w:val="auto"/>
        </w:rPr>
        <w:t>Transaction Notice</w:t>
      </w:r>
      <w:r>
        <w:rPr>
          <w:rFonts w:ascii="Times New Roman" w:cs="Times New Roman" w:eastAsia="Times New Roman" w:hAnsi="Times New Roman"/>
          <w:sz w:val="18"/>
          <w:szCs w:val="18"/>
          <w:color w:val="auto"/>
        </w:rPr>
        <w:t xml:space="preserve">”) as to the maximum number of Shares to be sold by the Agent on such day and in any event not in excess of the amount available for issuance under the Prospectus and the currently effective Registration Statement, the time period during which sales are requested to be made, any limitation on the number of shares that may be sold in any one Trading Day (as defined below), and any minimum price below which sales may not be made. The Transaction Notice shall originate from any of the individuals from the Company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may be amended from time to time. The Transaction Notice shall be effective upon receipt by the Agent unless and until (i) the Agent declines to accept for any reason, in its sole discretion, (ii) the entire amount of the Shares have been sold, (iii) the Company suspends or terminates the Transaction Notice in accordance with the notice requirements set forth in this Section 2, (iv) the Company issues a subsequent Transaction Notice with parameters superseding those on the earlier dated Transaction Notice, or (v) this Agreement has been terminated under the provisions of Section 7. Subject to the terms and conditions hereof and unless the sale of the Shares described therein has been declined, suspended, or otherwise terminated in accordance with the terms of this Agreement, the Agent shall promptly acknowledge the Transaction Notice by facsimile or e-mail (or by some other method mutually agreed to in writing by the parties) and shall use its commercially reasonable efforts to sell all of the Shares so designated by the Company in, and in accordance with the terms set forth in, the Transaction Notice; provided, however, that any obligation of the Agent to use such commercially reasonable efforts shall be subject to the continuing accuracy of the representations and warranties of the Company herein, to the performance by the Company of its obligations hereunder and to the continuing satisfaction of the additional conditions specified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The gross sales price of the Shares sold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be equal to the market price for the Common Stock sold by the Agent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on the Nasdaq Capital Market at the time of such sale. For the purposes hereof,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Common Stock are purchased and sold on the principal market on which the Common Stock are listed or quoted.</w:t>
      </w:r>
    </w:p>
    <w:p>
      <w:pPr>
        <w:spacing w:after="0" w:line="193" w:lineRule="exact"/>
        <w:rPr>
          <w:rFonts w:ascii="Times New Roman" w:cs="Times New Roman" w:eastAsia="Times New Roman" w:hAnsi="Times New Roman"/>
          <w:sz w:val="18"/>
          <w:szCs w:val="18"/>
          <w:color w:val="auto"/>
        </w:rPr>
      </w:pPr>
    </w:p>
    <w:p>
      <w:pPr>
        <w:jc w:val="both"/>
        <w:ind w:firstLine="656"/>
        <w:spacing w:after="0" w:line="256" w:lineRule="auto"/>
        <w:tabs>
          <w:tab w:leader="none" w:pos="9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hereto by telephone (confirmed promptly by e-mail to the respective individuals of the other party set forth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which confirmation shall be promptly acknowledged by the other party), suspend the Offering for any reason and at any time, whereupon the Agent shall so suspend the offering of Shares until further notice is provided by the other party to the contrary;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suspension or termination shall not affect or impair the parties’ respective obligations with respect to the Shares sold hereunder prior to the receipt by the Agent of such notice. Each of the parties agrees that no such notice under this </w:t>
      </w:r>
      <w:r>
        <w:rPr>
          <w:rFonts w:ascii="Times New Roman" w:cs="Times New Roman" w:eastAsia="Times New Roman" w:hAnsi="Times New Roman"/>
          <w:sz w:val="18"/>
          <w:szCs w:val="18"/>
          <w:u w:val="single" w:color="auto"/>
          <w:color w:val="auto"/>
        </w:rPr>
        <w:t>Section 2(a)(iii)</w:t>
      </w:r>
      <w:r>
        <w:rPr>
          <w:rFonts w:ascii="Times New Roman" w:cs="Times New Roman" w:eastAsia="Times New Roman" w:hAnsi="Times New Roman"/>
          <w:sz w:val="18"/>
          <w:szCs w:val="18"/>
          <w:color w:val="auto"/>
        </w:rPr>
        <w:t xml:space="preserve"> shall be effective against the other unless it is made to one of the individuals named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as such Schedule may be amended from time to time.</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the Agent will be successful in selling the Shares, (B) the Agent will incur no liability or obligation to the Company or any other person or entity if it does not sell Shares for any reason other than a failure by the Agent to use its commercially reasonable efforts consistent with its normal trading and sales practices and applicable law and regulations to sell such Shares as required under this Agreement, and (C) the Agent shall be under no obligation to purchase Shares on a principal basis pursuant to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sell Shares in privately negotiated transactions, provided that the Agent receives the Company’s prior written approval for any sales in privately negotiated transactions and if so provided in the “Plan of Distribution” section of the Prospectus Supplement or a supplement to the Prospectus Supplement or a new Prospectus Supplement disclosing the terms of such privately negotiated transaction. The compensation to the Agent for sales of the Shares, as an agent of the Company, shall be a cash transaction fee equal to three and half percent (3.5%) (the “</w:t>
      </w:r>
      <w:r>
        <w:rPr>
          <w:rFonts w:ascii="Times New Roman" w:cs="Times New Roman" w:eastAsia="Times New Roman" w:hAnsi="Times New Roman"/>
          <w:sz w:val="18"/>
          <w:szCs w:val="18"/>
          <w:b w:val="1"/>
          <w:bCs w:val="1"/>
          <w:i w:val="1"/>
          <w:iCs w:val="1"/>
          <w:color w:val="auto"/>
        </w:rPr>
        <w:t>Transaction Fee</w:t>
      </w:r>
      <w:r>
        <w:rPr>
          <w:rFonts w:ascii="Times New Roman" w:cs="Times New Roman" w:eastAsia="Times New Roman" w:hAnsi="Times New Roman"/>
          <w:sz w:val="18"/>
          <w:szCs w:val="18"/>
          <w:color w:val="auto"/>
        </w:rPr>
        <w:t xml:space="preserve">”) of the gross sales price of all of Shares sold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The remaining proceeds, after further deduction for any transaction or other fees imposed by any governmental or self-regulatory organization in respect of such sales, shall constitute the net proceeds to the Company for such Shares (the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Proceeds</w:t>
      </w:r>
      <w:r>
        <w:rPr>
          <w:rFonts w:ascii="Times New Roman" w:cs="Times New Roman" w:eastAsia="Times New Roman" w:hAnsi="Times New Roman"/>
          <w:sz w:val="18"/>
          <w:szCs w:val="18"/>
          <w:color w:val="auto"/>
        </w:rPr>
        <w:t>”). The Agent shall notify the Company as promptly as practicable if any deduction referenced in the preceding sentence will be required.</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provide written confirmation (which may be by facsimile or electronic mail) to the Company following the close of trading on the Nasdaq Capital Market each day in which the Shares are sold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setting forth the number of the Shares sold on such day, the aggregate gross sale proceeds, the Net Proceeds to the Company, and the compensation payable by the Company to the Agent with respect to such sales.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56"/>
        <w:spacing w:after="0" w:line="253" w:lineRule="auto"/>
        <w:tabs>
          <w:tab w:leader="none" w:pos="10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sold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will be delivered by the Company to Agent for the accounts of the Agent on the first full business day following the date on which such Shares are sold (T+1), or at such other time and date as Agent and the Company determine pursuant to Rule 15c6-1(a) under the Exchange Act, each such time and date of delivery being herein referred to as a “</w:t>
      </w:r>
      <w:r>
        <w:rPr>
          <w:rFonts w:ascii="Times New Roman" w:cs="Times New Roman" w:eastAsia="Times New Roman" w:hAnsi="Times New Roman"/>
          <w:sz w:val="18"/>
          <w:szCs w:val="18"/>
          <w:b w:val="1"/>
          <w:bCs w:val="1"/>
          <w:i w:val="1"/>
          <w:iCs w:val="1"/>
          <w:color w:val="auto"/>
        </w:rPr>
        <w:t>Settlement Date</w:t>
      </w:r>
      <w:r>
        <w:rPr>
          <w:rFonts w:ascii="Times New Roman" w:cs="Times New Roman" w:eastAsia="Times New Roman" w:hAnsi="Times New Roman"/>
          <w:sz w:val="18"/>
          <w:szCs w:val="18"/>
          <w:color w:val="auto"/>
        </w:rPr>
        <w:t>.” On each Settlement Date, the Shares sold through the Agent for settlement on such date shall be issued and delivered by the Company to the Agent against payment of the Net Proceeds from the sale of such Shares. Settlement for all such Shares shall be effected by free delivery of the Shares by the Company or its transfer agent (i) to the Agent or its designee’s account (provided the Agent shall have given the Company written notice of such designee prior to the Settlement Date) at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or (ii) by such other means of delivery as may be mutually agreed upon by the parties hereto, which in all cases (provided that such Shares were sold pursuant to the Registration Statement) shall be freely tradable, transferable, registered shares in good deliverable form, in return for payment in same day funds delivered to an account designated by the Company. If the Company or its transfer agent (if applicable) shall default on its obligation to deliver the Shares on any Settlement Date, the Company shall (A) indemnify and hold the Agent harmless against any loss, claim or damage arising from or as a result of such default by the Company and (B) pay the Agent any commission to which it would otherwise be entitled absent such default against payment of the Net Proceeds therefor by wire transfer of same day funds payable to the order of the Company at 9:00 a.m. New York City time.</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Company cause or request the offer or sale of any Shares if, after giving effect to the sale of such Shares, the aggregate gross sales proceeds sold pursuant to this Agreement would exceed the lesser of (A) together with all sales of Shares under this Agreement, the Maximum Amount, (B) the amount available for offer and sale under the currently effective Registration Statement and (C)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Shares at a price lower than the minimum price authorized from time to time by the Company’s board of directors, duly authorized committee thereof or a duly authorized executive committee, and notified to the Agent in writing. Further, under no circumstances shall the aggregate offering amount of the Shares sold pursuant to this Agreement, including any separate underwriting or similar agreement covering principal transactions, exceed the Maximum Amount.</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6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exceptive provisions set forth in Rule 101(c)(1) of Regulation M under the Exchange Act are satisfied with respect to the Shares, the Company shall give the Agent at least one business day’s prior notice of its intent to sell any Shares in order to allow the Agent time to comply with Regulation M.</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during the term of this Agreement, any offer to sell, any solicitation of an offer to buy, or any sales of Shares in an “at the market offering” as defined in Rule 415 under the Securities Act, including pursuant to </w:t>
      </w:r>
      <w:r>
        <w:rPr>
          <w:rFonts w:ascii="Times New Roman" w:cs="Times New Roman" w:eastAsia="Times New Roman" w:hAnsi="Times New Roman"/>
          <w:sz w:val="18"/>
          <w:szCs w:val="18"/>
          <w:u w:val="single" w:color="auto"/>
          <w:color w:val="auto"/>
        </w:rPr>
        <w:t>Section 3(o)</w:t>
      </w:r>
      <w:r>
        <w:rPr>
          <w:rFonts w:ascii="Times New Roman" w:cs="Times New Roman" w:eastAsia="Times New Roman" w:hAnsi="Times New Roman"/>
          <w:sz w:val="18"/>
          <w:szCs w:val="18"/>
          <w:color w:val="auto"/>
        </w:rPr>
        <w:t xml:space="preserve"> of this Agreement, shall only be effected by or through the Agent or any of its sub-agent(s) or other designees; provided, however, that the foregoing limitation shall not apply to the exercise of any outstanding stock option or warrant described in the Registration Statement and the Prospectus.</w:t>
      </w:r>
    </w:p>
    <w:p>
      <w:pPr>
        <w:spacing w:after="0" w:line="180" w:lineRule="exact"/>
        <w:rPr>
          <w:sz w:val="20"/>
          <w:szCs w:val="20"/>
          <w:color w:val="auto"/>
        </w:rPr>
      </w:pPr>
    </w:p>
    <w:p>
      <w:pPr>
        <w:jc w:val="both"/>
        <w:ind w:firstLine="656"/>
        <w:spacing w:after="0" w:line="266" w:lineRule="auto"/>
        <w:tabs>
          <w:tab w:leader="none" w:pos="9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contained shall constitute the Agent as an unincorporated association or partner with the Company. Under no circumstances shall any Shares be sold pursuant to this Agreement after the date which is three years after the Registration Statement is first declared effective by the Commission.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Agreement, the Company agrees that no sale of Shares shall take place, and the Company shall not request the sale of any Shares, and the Agent shall not be obligated to sell, during any period in which the Company is, or could be deemed to be, in possession of material non-public information or the Company’s insider trading policy would prohibit the purchase and sale of the Company’s Common Stock by its officers and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color w:val="auto"/>
        </w:rPr>
        <w:t>. The Company covenants and agrees with the Agent as follows:</w:t>
      </w:r>
    </w:p>
    <w:p>
      <w:pPr>
        <w:spacing w:after="0" w:line="229" w:lineRule="exact"/>
        <w:rPr>
          <w:sz w:val="20"/>
          <w:szCs w:val="20"/>
          <w:color w:val="auto"/>
        </w:rPr>
      </w:pPr>
    </w:p>
    <w:p>
      <w:pPr>
        <w:jc w:val="both"/>
        <w:ind w:firstLine="656"/>
        <w:spacing w:after="0" w:line="253" w:lineRule="auto"/>
        <w:tabs>
          <w:tab w:leader="none" w:pos="8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date hereof and through any Prospectus Delivery Period, prior to amending or supplementing the Registration Statement (including any Rule 462(b) Registration Statement), Base Prospectus, Prospectus Supplement, the Prospectus or any Permitted Free Writing Prospectus related to this Agreement, the Company shall furnish to the Agent for review a copy of each such proposed amendment or supplement, allow the Agent a reasonable amount of time to review and comment on such proposed amendment or supplement, and the Company shall not file any such proposed amendment or supplement to which the Agent or counsel to the Agent reasonably object; provided, that the foregoing shall not apply with regards to the filing by the Company of any Form 10-K, Form 10-Q or other Incorporated Document. Subject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immediately following execution of this Agreement, the Company will prepare a prospectus supplement describing the selling terms of the Shares hereunder, the plan of distribution thereof and such other information as may be required by the Securities Act or the Rules and Regulations or as the Agent and the Company may deem appropriate, and if requested by the Agent, a Permitted Free Writing Prospectus containing the selling terms of the Shares hereunder and such other information as the Company and the Agent may deem appropriate, and will file or transmit for filing with the Commission, in accordance with Rule 424(b) or Rule 433, as the case may be, copies of the Prospectus as supplemented and each such Permitted Free Writing Prospectus.</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8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this Agreement, the Company shall promptly advise the Agent in writing (i) of the receipt of any comments of, or requests for additional or supplemental information from, the Commission or for any amendments or supplements to the Registration Statement, the Base Prospectus, Prospectus Supplement, the Prospectus or any Permitted Free Writing Prospectus (excluding any Incorporated Documents), (ii) of the time and date of any filing of any post-effective amendment to the Registration Statement or any amendment or supplement to any Base Prospectus, Prospectus Supplement, the Prospectus or any Permitted Free Writing Prospectus (excluding any Incorporated Documents), (iii) of the time and date that any post-effective amendment to the Registration Statement becomes effective, (iv) of the issuance by the Commission of any stop order suspending the effectiveness of the Registration Statement or any post-effective amendment thereto or of any order preventing or suspending its use or the use of any Base Prospectus, Prospectus Supplement, the Prospectus or any Permitted Free Writing Prospectus, or (v)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the Company or the Agent may elect to terminate this Agreement. Additionally, the Company agrees that it shall comply with the provisions of Rules 424(b), 430B and 430C, as applicable, under the Securities Act and will use its reasonable efforts to confirm that any filings made by the Company under Rule 424(b), Rule 433 or Rule 462 were received in a timely manner by the Commission (without reliance on Rule 424(b)(8) or Rule 164(b)).</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1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the date hereof through the later of (A) the termination of this Agreement and (B) the end of any applicable Prospectus Delivery Period, the Company will comply with all requirements imposed upon it by the Securities Act, as now and hereafter amended, and by the Rules and Regulations, as from time to time in force, and by the Exchange Act so far as necessary to permit the continuance of sales of or dealings in the Shares as contemplated by the provisions hereof, the Base Prospectus, Prospectus Supplement, the Prospectus and any Permitted Free Writing Prospectus. If during any applicable Prospectus Delivery Period any event occurs as a result of which the Base Prospectus, Prospectus Supplement, the Prospectus, or any Permitted Free Writing Prospectus would include an untrue statement of a material fact or omit to state a material fact necessary to make the statements therein, in the light of the circumstances then existing, not misleading, or if during any applicable Prospectus Delivery Period it is necessary or appropriate in the opinion of the Company or its counsel, or in the reasonable opinion of the Agent or counsel to the Agent to amend the Registration Statement or supplement the Base Prospectus, Prospectus Supplement, the Prospectus or any Permitted Free Writing Prospectus, to comply with the Securities Act or to file under the Exchange Act any document which would be deemed to be incorporated by reference in the Prospectus in order to comply with the Securities Act or the Exchange Act, the Company will promptly notify Agent (or the Agent will notify the Company, as applicable), and the Agent shall suspend the offering and sale of any such Shares, and the Company will amend the Registration Statement or supplement the Base Prospectus, Prospectus Supplement, the Prospectus or any Permitted Free Writing Prospectus or file such document (at the expense of the Company) so as to correct such statement or omission or effect such compliance within the time period prescribed by the Securities Act or the Exchange Act.</w:t>
      </w:r>
    </w:p>
    <w:p>
      <w:pPr>
        <w:spacing w:after="0" w:line="197" w:lineRule="exact"/>
        <w:rPr>
          <w:sz w:val="20"/>
          <w:szCs w:val="20"/>
          <w:color w:val="auto"/>
        </w:rPr>
      </w:pPr>
    </w:p>
    <w:p>
      <w:pPr>
        <w:jc w:val="both"/>
        <w:ind w:firstLine="656"/>
        <w:spacing w:after="0" w:line="253" w:lineRule="auto"/>
        <w:tabs>
          <w:tab w:leader="none" w:pos="9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Agent is required to deliver (whether physically or through compliance with Rule 172 under the Securities Act or any similar rule), in connection with the sale of the Shares, a Prospectus after the nine-month period referred to in Section 10(a)(3) of the Securities Act, or after the time a post-effective amendment to the Registration Statement is required pursuant to Item 512(a) of Regulation S-K under the Securities Act, the Company will prepare, at its expense, promptly upon request such amendment or amendments to the Registration Statement and the Prospectus as may be necessary to permit compliance with the requirements of Section 10(a)(3) of the Securities Act or Item 512(a) of Regulation S-K under the Securities Act, as the case may be. The Company shall cause each amendment or supplement to any Base Prospectus or the Prospectus to be filed with the Commission as required pursuant to the applicable paragraph of Rule 424(b) of the Securities Act or, in the case of any document which would be deemed to be incorporated by reference therein, to be filed with the Commission as required pursuant to the Exchange Act, within the time period prescribed. The Company shall promptly notify the Agent if any Material Contract is terminated or if the other party thereto gives written notice of its intent to terminate any such Material Contract.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56"/>
        <w:spacing w:after="0" w:line="256" w:lineRule="auto"/>
        <w:tabs>
          <w:tab w:leader="none" w:pos="98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issuance of a Permitted Free Writing Prospectus there occurs an event or development as a result of which such Permitted Free Writing Prospectus would conflict with the information contained in the Registration Statement, the Base Prospectus, Prospectus Supplement or the Prospectus, or would include an untrue statement of a material fact or omitted or would omit to state a material fact necessary in order to make the statements therein, in the light of the circumstances prevailing at that subsequent time, not misleading, the Company promptly will notify the Agent and will promptly amend or supplement, at its own expense, such Permitted Free Writing Prospectus to eliminate or correct such conflict, untrue statement or omission.</w:t>
      </w:r>
    </w:p>
    <w:p>
      <w:pPr>
        <w:spacing w:after="0" w:line="187" w:lineRule="exact"/>
        <w:rPr>
          <w:sz w:val="20"/>
          <w:szCs w:val="20"/>
          <w:color w:val="auto"/>
        </w:rPr>
      </w:pPr>
    </w:p>
    <w:p>
      <w:pPr>
        <w:jc w:val="both"/>
        <w:ind w:firstLine="656"/>
        <w:spacing w:after="0" w:line="256" w:lineRule="auto"/>
        <w:tabs>
          <w:tab w:leader="none" w:pos="9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take or cause to be taken all necessary action to qualify the Shares for sale under the securities laws of such jurisdictions as Agent reasonably designates, if applicable,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Agent and counsel for the Agent, to the extent requested, copies of the Registration Statement, the Base Prospectus, Prospectus Supplement, the Prospectus, any Permitted Free Writing Prospectus, and all amendments and supplements to such documents, in each case as soon as available and in such quantities as the Agent may from time to time reasonably request.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make generally available to its security holders as soon as practicable an earnings statement (which need not be audited) covering a 12-month period that shall satisfy the provisions of Section 11(a) of the Securities Act and Rule 158 of the Rules and Regulations. If the Company makes any public announcement or release disclosing its results of operations or financial condition for a completed quarterly or annual fiscal period (each, an “</w:t>
      </w:r>
      <w:r>
        <w:rPr>
          <w:rFonts w:ascii="Times New Roman" w:cs="Times New Roman" w:eastAsia="Times New Roman" w:hAnsi="Times New Roman"/>
          <w:sz w:val="18"/>
          <w:szCs w:val="18"/>
          <w:b w:val="1"/>
          <w:bCs w:val="1"/>
          <w:i w:val="1"/>
          <w:iCs w:val="1"/>
          <w:color w:val="auto"/>
        </w:rPr>
        <w:t>Earnings Release</w:t>
      </w:r>
      <w:r>
        <w:rPr>
          <w:rFonts w:ascii="Times New Roman" w:cs="Times New Roman" w:eastAsia="Times New Roman" w:hAnsi="Times New Roman"/>
          <w:sz w:val="18"/>
          <w:szCs w:val="18"/>
          <w:color w:val="auto"/>
        </w:rPr>
        <w:t>”) and the Company has not yet filed an Annual Report on Form 10-K or a Quarterly Report on Form 10-Q with respect to such information, as applicable, then, prior to any sale of Shares, the Company shall be obligated to (x) file a prospectus supplement with the Commission under the applicable paragraph of Rule 424(b), which prospectus supplement shall include the applicable financial information or (y) file a Current Report on Form 8-K, which Current Report on Form 8-K shall include the applicable financial information.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0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whether or not the transactions contemplated hereunder are consummated or this Agreement is terminated, will pay or cause to be paid (i) all expenses (including stock or transfer taxes and stamp or similar duties allocated to the respective transferees) incurred in connection with the registration, issue, sale and delivery of the Shares, (ii) all reasonable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Base Prospectus, each Prospectus Supplement, Prospectus, any Permitted Free Writing Prospectus, and any amendment thereof or supplement thereto, and the producing, word-processing, printing, delivery, and shipping of this Agreement and other closing documents, including Blue Sky Memoranda (covering the states and other applicable jurisdictions) prepared by counsel, if required, and including the cost to furnish copies of each thereof to the Agent, (iii) all filing fees, (iv) listing fees, if any, (v) the cost and expenses of the Company relating to investor presentations or any “roadshow” undertaken in connection with marketing of the Shares as agreed to by the Company, and</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3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costs and expenses of the Company incident to the performance of its obligations hereunder that are not otherwise specifically provided for herein. The Company shall reimburse the Agent upon request for its costs and out-of-pocket expenses incurred in connection with this Agreement, including settlement and DTC fees, and the fees and out-of-pocket expenses of its legal counsel, in an amount not to exceed (except in the case of legal fees and disbursements as provided for below) US$125,000 in connection with the filing of the Registration Statement and Prospectus Supplement for the Offering of the Shares. In addition, the Company shall reimburse the Agent upon request for such costs, fees and expenses incurred in connection with this Agreement in an amount not to exceed US$5,000 on a quarterly basis thereafter. All such reimbursements under this Agreement shall be paid in U.S. dollars.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apply the net proceeds from the sale of the Shares in the manner set forth under the caption “Use of Proceeds” in the Base Prospectus, Prospectus Supplement, the Prospectus, and any Permitted Free Writing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56"/>
        <w:spacing w:after="0" w:line="253" w:lineRule="auto"/>
        <w:tabs>
          <w:tab w:leader="none" w:pos="8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without (i) giving the Agent at least five business days’ prior written notice specifying the nature of the proposed sale and the date of such proposed sale and (ii) the Agent’s suspending activity under this Agreement for such period of time as requested by the Company or as deemed appropriate by the Agent in light of the proposed sale, offer for sale, sell, contract to sell, pledge, grant any option for the sale of, enter into any transaction which is designed to, or might reasonably be expected to, result in the disposition (whether by actual disposition or effective economic disposition due to cash settlement or otherwise) by the Company or any Subsidiary, or otherwise issue or dispose of, directly or indirectly (or publicly disclose the intention to make any such offer, sale, pledge, grant, issuance or other disposition), of any Common Stock or any securities convertible into or exchangeable for, or any options or rights to purchase or acquire, Common Stock, or permit the registration under the Securities Act of any Common Stock, such securities, options or rights, except for (i) the registration of the Shares and the sales through the Agent or any of its sub-agent(s) or other designees pursuant to this Agreement (ii) the registration of Common Stock issued or issuable with respect to any currently outstanding stock options and warrants that are described in the Registration Statement and the Prospectus and (iii) a registration statement on Form S-8 relating to employee benefit plans, or any reoffer prospectus filings made with the Commission in connection therewith.</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8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at any time at or after the execution of this Agreement, offer or sell any Shares by means of any “prospectus” (within the meaning of the Securities Act), or use any “prospectus” (within the meaning of the Securities Act) in connection with the offer or sale of the Shares, in each case other than the Prospectus or any Permitted Free Writing Prospectus.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Securities Act, the Exchange Act or the rules and regulations thereunder of the price of any security of the Company to facilitate the sale or resale of the Shares or otherwise violate any provision of Regulation M under the Exchange Act.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incur any liability for any finder’s or broker’s fee or agent’s commission in connection with the execution and delivery of this Agreement or the consummation of the transactions contemplated hereby or thereby, except as contemplated herein.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applicable Prospectus Delivery Period, the Company will file on a timely basis with the Commission such periodic and current reports as required by the Rules and Regulations.</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maintained and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is made known to them by others within those entities.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Agent represent and agree that, neither the Company nor the Agent has made or will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other than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56"/>
        <w:spacing w:after="0" w:line="252" w:lineRule="auto"/>
        <w:tabs>
          <w:tab w:leader="none" w:pos="90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when the Company (A) amends or supplements (other than a supplement to a Prospectus filed pursuant to Rule 424(b) under the Securities Act relating solely to the offering of securities other than the Shares) the Registration Statement or Prospectus by means of a post-effective amendment, sticker, or supplement but not by means of incorporation of documents by reference into the Registration Statement or the Prospectus relating to the Shares, (B) files an Annual Report on Form 10-K under the Exchange Act (including any Form 10-K/A containing amended material financial information or a material amendment to any previously filed Form 10-K) or (C) files a Quarterly Report on Form 10-Q containing quarterly financial information that is incorporated by reference in the Registration Statement and Prospectus (each of the dates in (A) through (C) are referred to herein as a “</w:t>
      </w:r>
      <w:r>
        <w:rPr>
          <w:rFonts w:ascii="Times New Roman" w:cs="Times New Roman" w:eastAsia="Times New Roman" w:hAnsi="Times New Roman"/>
          <w:sz w:val="18"/>
          <w:szCs w:val="18"/>
          <w:b w:val="1"/>
          <w:bCs w:val="1"/>
          <w:i w:val="1"/>
          <w:iCs w:val="1"/>
          <w:color w:val="auto"/>
        </w:rPr>
        <w:t>Bringdown Date</w:t>
      </w:r>
      <w:r>
        <w:rPr>
          <w:rFonts w:ascii="Times New Roman" w:cs="Times New Roman" w:eastAsia="Times New Roman" w:hAnsi="Times New Roman"/>
          <w:sz w:val="18"/>
          <w:szCs w:val="18"/>
          <w:color w:val="auto"/>
        </w:rPr>
        <w:t xml:space="preserve">”), the Agent shall receive a favorable opinion of McLaughlin &amp; Stern, LLP counsel for the Company, dated as of a date within ten (10) days after the applicable Bringdown Date, addressed to the Agent and modified as necessary to relate to the Registration Statement and the Prospectus, as amended and supplemented to the time of delivery of such opinion. With respect to this </w:t>
      </w:r>
      <w:r>
        <w:rPr>
          <w:rFonts w:ascii="Times New Roman" w:cs="Times New Roman" w:eastAsia="Times New Roman" w:hAnsi="Times New Roman"/>
          <w:sz w:val="18"/>
          <w:szCs w:val="18"/>
          <w:u w:val="single" w:color="auto"/>
          <w:color w:val="auto"/>
        </w:rPr>
        <w:t>Section 3(p)</w:t>
      </w:r>
      <w:r>
        <w:rPr>
          <w:rFonts w:ascii="Times New Roman" w:cs="Times New Roman" w:eastAsia="Times New Roman" w:hAnsi="Times New Roman"/>
          <w:sz w:val="18"/>
          <w:szCs w:val="18"/>
          <w:color w:val="auto"/>
        </w:rPr>
        <w:t>, in lieu of delivering such opinion or letter for Bringdown Dates subsequent to initial Bringdown Date, such counsel may furnish agent with a letter (a “</w:t>
      </w:r>
      <w:r>
        <w:rPr>
          <w:rFonts w:ascii="Times New Roman" w:cs="Times New Roman" w:eastAsia="Times New Roman" w:hAnsi="Times New Roman"/>
          <w:sz w:val="18"/>
          <w:szCs w:val="18"/>
          <w:b w:val="1"/>
          <w:bCs w:val="1"/>
          <w:i w:val="1"/>
          <w:iCs w:val="1"/>
          <w:color w:val="auto"/>
        </w:rPr>
        <w:t>Reliance Letter</w:t>
      </w:r>
      <w:r>
        <w:rPr>
          <w:rFonts w:ascii="Times New Roman" w:cs="Times New Roman" w:eastAsia="Times New Roman" w:hAnsi="Times New Roman"/>
          <w:sz w:val="18"/>
          <w:szCs w:val="18"/>
          <w:color w:val="auto"/>
        </w:rPr>
        <w:t xml:space="preserve">”) to the effect that Agent may rely upon a prior opinion or letter delivered under this </w:t>
      </w:r>
      <w:r>
        <w:rPr>
          <w:rFonts w:ascii="Times New Roman" w:cs="Times New Roman" w:eastAsia="Times New Roman" w:hAnsi="Times New Roman"/>
          <w:sz w:val="18"/>
          <w:szCs w:val="18"/>
          <w:u w:val="single" w:color="auto"/>
          <w:color w:val="auto"/>
        </w:rPr>
        <w:t>Section 3(p)</w:t>
      </w:r>
      <w:r>
        <w:rPr>
          <w:rFonts w:ascii="Times New Roman" w:cs="Times New Roman" w:eastAsia="Times New Roman" w:hAnsi="Times New Roman"/>
          <w:sz w:val="18"/>
          <w:szCs w:val="18"/>
          <w:color w:val="auto"/>
        </w:rPr>
        <w:t xml:space="preserve"> to the same extent as if it were dated the date of such letter (except that statement in such prior opinion shall be deemed to relate to the Registration Statement and the Prospectus, as amended or supplemented as of the date of such Reliance Letter); provided, however, the requirement to provide an opinion and letter under this </w:t>
      </w:r>
      <w:r>
        <w:rPr>
          <w:rFonts w:ascii="Times New Roman" w:cs="Times New Roman" w:eastAsia="Times New Roman" w:hAnsi="Times New Roman"/>
          <w:sz w:val="18"/>
          <w:szCs w:val="18"/>
          <w:u w:val="single" w:color="auto"/>
          <w:color w:val="auto"/>
        </w:rPr>
        <w:t>Section 3(p)</w:t>
      </w:r>
      <w:r>
        <w:rPr>
          <w:rFonts w:ascii="Times New Roman" w:cs="Times New Roman" w:eastAsia="Times New Roman" w:hAnsi="Times New Roman"/>
          <w:sz w:val="18"/>
          <w:szCs w:val="18"/>
          <w:color w:val="auto"/>
        </w:rPr>
        <w:t xml:space="preserve"> is hereby waived for any Bringdown Date occurring at a time at which no Transaction Notice is pending, which waiver shall continue until the earlier to occur of the date the Company delivers a Transaction Notice hereunder and the next occurring Bringdown Date. Notwithstanding the foregoing, if the Company subsequently decides to sell Shares following a Bringdown Date when the Company relied on such waiver and did not provide Agent with an opinion and letter under this </w:t>
      </w:r>
      <w:r>
        <w:rPr>
          <w:rFonts w:ascii="Times New Roman" w:cs="Times New Roman" w:eastAsia="Times New Roman" w:hAnsi="Times New Roman"/>
          <w:sz w:val="18"/>
          <w:szCs w:val="18"/>
          <w:u w:val="single" w:color="auto"/>
          <w:color w:val="auto"/>
        </w:rPr>
        <w:t>Section 3(p)</w:t>
      </w:r>
      <w:r>
        <w:rPr>
          <w:rFonts w:ascii="Times New Roman" w:cs="Times New Roman" w:eastAsia="Times New Roman" w:hAnsi="Times New Roman"/>
          <w:sz w:val="18"/>
          <w:szCs w:val="18"/>
          <w:color w:val="auto"/>
        </w:rPr>
        <w:t>, then before the Company delivers the Transaction Notice or Agent sells any Shares, the Company shall cause McLaughlin &amp; Stern, LLP to furnish to the Agent a written opinion or Reliance Letter dated the date of the Transaction Notice.</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when the Company files an Annual Report on Form 10-K, the Company shall cause GGF CPA LTD or other independent accountants satisfactory to the Agent, to deliver to the Agent (A) a letter, dated as of a date within ten (10) days after such date and addressed to Agent, in form and substance satisfactory to Agent (the first such letter, the “</w:t>
      </w:r>
      <w:r>
        <w:rPr>
          <w:rFonts w:ascii="Times New Roman" w:cs="Times New Roman" w:eastAsia="Times New Roman" w:hAnsi="Times New Roman"/>
          <w:sz w:val="18"/>
          <w:szCs w:val="18"/>
          <w:b w:val="1"/>
          <w:bCs w:val="1"/>
          <w:i w:val="1"/>
          <w:iCs w:val="1"/>
          <w:color w:val="auto"/>
        </w:rPr>
        <w:t>Initial Comfort Letter</w:t>
      </w:r>
      <w:r>
        <w:rPr>
          <w:rFonts w:ascii="Times New Roman" w:cs="Times New Roman" w:eastAsia="Times New Roman" w:hAnsi="Times New Roman"/>
          <w:sz w:val="18"/>
          <w:szCs w:val="18"/>
          <w:color w:val="auto"/>
        </w:rPr>
        <w:t>”), confirming that they are independent public accountants within the meaning of the Securities Act and are in compliance with the applicable requirements relating to the qualifications of accountants under Rule 2-01 of Regulation S-X of the Commission, and stating the conclusions and findings of said firm with respect to the financial information and other matters, and</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updating the Initial Comfort Letter with any information that would have been included in the Initial Comfort Letter had it been given on such date and as modified as necessary to relate to the date of such letter (each such letter, a “</w:t>
      </w: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requirement to provide a Bringdown Comfort Letter under this </w:t>
      </w:r>
      <w:r>
        <w:rPr>
          <w:rFonts w:ascii="Times New Roman" w:cs="Times New Roman" w:eastAsia="Times New Roman" w:hAnsi="Times New Roman"/>
          <w:sz w:val="18"/>
          <w:szCs w:val="18"/>
          <w:u w:val="single" w:color="auto"/>
          <w:color w:val="auto"/>
        </w:rPr>
        <w:t>Section 3(q)</w:t>
      </w:r>
      <w:r>
        <w:rPr>
          <w:rFonts w:ascii="Times New Roman" w:cs="Times New Roman" w:eastAsia="Times New Roman" w:hAnsi="Times New Roman"/>
          <w:sz w:val="18"/>
          <w:szCs w:val="18"/>
          <w:color w:val="auto"/>
        </w:rPr>
        <w:t xml:space="preserve"> is hereby waived for any Bringdown Date occurring at a time at which no Transaction Notice is pending, which waiver shall continue until the earlier to occur of the date the Company delivers a Transaction Notice hereunder and the next occurring Bringdown Date. Notwithstanding the foregoing, if the Company subsequently decides to sell Shares following a Bringdown Date when the Company relied on such waiver and did not provide Agent with a Bringdown Comfort Letter under this </w:t>
      </w:r>
      <w:r>
        <w:rPr>
          <w:rFonts w:ascii="Times New Roman" w:cs="Times New Roman" w:eastAsia="Times New Roman" w:hAnsi="Times New Roman"/>
          <w:sz w:val="18"/>
          <w:szCs w:val="18"/>
          <w:u w:val="single" w:color="auto"/>
          <w:color w:val="auto"/>
        </w:rPr>
        <w:t>Section 3(q)</w:t>
      </w:r>
      <w:r>
        <w:rPr>
          <w:rFonts w:ascii="Times New Roman" w:cs="Times New Roman" w:eastAsia="Times New Roman" w:hAnsi="Times New Roman"/>
          <w:sz w:val="18"/>
          <w:szCs w:val="18"/>
          <w:color w:val="auto"/>
        </w:rPr>
        <w:t>, then before the Company delivers the Transaction Notice or Agent sells any Shares, the Company shall cause GGF CPA LTD, or other independent accountants satisfactory to the Agent, to deliver to the Agent a Bringdown Comfort Letter dated the date of the Transaction Notice.</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89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Bringdown Date, the Company shall furnish to the Agent a certificate, dated as of a date within ten (10) days after the applicable Bringdown Date and addressed to Agent, signed by the Chief Executive Officer of the Company and by the Chief Financial Officer of the Company, to the effect that:</w:t>
      </w:r>
    </w:p>
    <w:p>
      <w:pPr>
        <w:spacing w:after="0" w:line="176" w:lineRule="exact"/>
        <w:rPr>
          <w:sz w:val="20"/>
          <w:szCs w:val="20"/>
          <w:color w:val="auto"/>
        </w:rPr>
      </w:pPr>
    </w:p>
    <w:p>
      <w:pPr>
        <w:jc w:val="both"/>
        <w:ind w:right="20" w:firstLine="656"/>
        <w:spacing w:after="0" w:line="266" w:lineRule="auto"/>
        <w:tabs>
          <w:tab w:leader="none" w:pos="8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in all material respects as if made at and as of the date of the certificate, and the Company has complied in all material respects with all the agreements and satisfied all the conditions on its part to be performed or satisfied at or prior to the date of the certificate;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or other order suspending the effectiveness of the Registration Statement or any part thereof or any amendment thereof or the qualification of the Shares for offering or sale or notice that would prevent use of the Registration Statement, nor suspending or preventing the use of the Base Prospectus, Prospectus Supplement, the Prospectus or any Permitted Free Writing Prospectus, has been issued, and no proceeding for that purpose has been instituted or, to the best of their knowledge, is contemplated by the Commission or any state or regulatory body;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right="20" w:firstLine="656"/>
        <w:spacing w:after="0" w:line="282" w:lineRule="auto"/>
        <w:tabs>
          <w:tab w:leader="none" w:pos="9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on that date have been duly and validly authorized by the Company and all corporate action required to be taken for the authorization, issuance and sale of the Shares on that date has been validly and sufficiently taken;</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Base Prospectus, Prospectus Supplement, the Prospectus or any Permitted Free Writing Prospectus, as amended and supplemented, and except for pending transactions disclosed therein, the Company has not incurred any material liabilities or obligations, direct or contingent, or entered into any material transactions, not in the ordinary course of business, or declared or paid any dividends or made any distribution of any kind with respect to its capital stock, and there has not been any change in the capital stock or any issuance of options, warrants, convertible securities or other rights to purchase the capital stock (other than as a result of the exercise of any currently outstanding options or warrants that are disclosed in the Prospectus), or any material change in the short-term or long-term debt, of the Company, or any Material Adverse Effect or any development that would reasonably be likely to result in a Material Adverse Effect (whether or not arising in the ordinary course of business), or any material loss by strike, fire, flood, earthquake, accident, epidemic, pandemic or other calamity, whether or not covered by insurance, incurred by the Company; and</w:t>
      </w:r>
    </w:p>
    <w:p>
      <w:pPr>
        <w:spacing w:after="0" w:line="188" w:lineRule="exact"/>
        <w:rPr>
          <w:rFonts w:ascii="Times New Roman" w:cs="Times New Roman" w:eastAsia="Times New Roman" w:hAnsi="Times New Roman"/>
          <w:sz w:val="18"/>
          <w:szCs w:val="18"/>
          <w:color w:val="auto"/>
        </w:rPr>
      </w:pPr>
    </w:p>
    <w:p>
      <w:pPr>
        <w:jc w:val="both"/>
        <w:ind w:firstLine="656"/>
        <w:spacing w:after="0" w:line="272" w:lineRule="auto"/>
        <w:tabs>
          <w:tab w:leader="none" w:pos="91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stated in the Base Prospectus, Prospectus Supplement, the Prospectus, and any Permitted Free Writing Prospectus, as amended and supplemented, there is not pending, or, to the knowledge of the Company, threatened or contemplated, any action, suit or proceeding to which the Company is a party before or by any court or governmental agency, authority or body, or any arbitrator, which would reasonably be likely to result in any Material Adverse Effect; provided, however, the requirement to provide a certificate under this </w:t>
      </w:r>
      <w:r>
        <w:rPr>
          <w:rFonts w:ascii="Times New Roman" w:cs="Times New Roman" w:eastAsia="Times New Roman" w:hAnsi="Times New Roman"/>
          <w:sz w:val="17"/>
          <w:szCs w:val="17"/>
          <w:u w:val="single" w:color="auto"/>
          <w:color w:val="auto"/>
        </w:rPr>
        <w:t>Section 3(r)</w:t>
      </w:r>
      <w:r>
        <w:rPr>
          <w:rFonts w:ascii="Times New Roman" w:cs="Times New Roman" w:eastAsia="Times New Roman" w:hAnsi="Times New Roman"/>
          <w:sz w:val="17"/>
          <w:szCs w:val="17"/>
          <w:color w:val="auto"/>
        </w:rPr>
        <w:t xml:space="preserve"> is hereby waived for any Bringdown Date occurring at a time at which no Transaction Notice is pending, which waiver shall continue until the earlier to occur of the date the Company delivers a Transaction Notice hereunder and the next occurring Bringdown Date. Notwithstanding the foregoing, if the Company subsequently decides to sell Shares following a Bringdown Date when the Company relied on such waiver and did not provide Agent with a certificate under this </w:t>
      </w:r>
      <w:r>
        <w:rPr>
          <w:rFonts w:ascii="Times New Roman" w:cs="Times New Roman" w:eastAsia="Times New Roman" w:hAnsi="Times New Roman"/>
          <w:sz w:val="17"/>
          <w:szCs w:val="17"/>
          <w:u w:val="single" w:color="auto"/>
          <w:color w:val="auto"/>
        </w:rPr>
        <w:t>Section 3(r)</w:t>
      </w:r>
      <w:r>
        <w:rPr>
          <w:rFonts w:ascii="Times New Roman" w:cs="Times New Roman" w:eastAsia="Times New Roman" w:hAnsi="Times New Roman"/>
          <w:sz w:val="17"/>
          <w:szCs w:val="17"/>
          <w:color w:val="auto"/>
        </w:rPr>
        <w:t>, then before the Company delivers the Transaction Notice or Agent sells any Shares, the Company shall provide Agent with a certificate dated the date of the Transaction Notice.</w:t>
      </w:r>
    </w:p>
    <w:p>
      <w:pPr>
        <w:spacing w:after="0" w:line="172" w:lineRule="exact"/>
        <w:rPr>
          <w:sz w:val="20"/>
          <w:szCs w:val="20"/>
          <w:color w:val="auto"/>
        </w:rPr>
      </w:pPr>
    </w:p>
    <w:p>
      <w:pPr>
        <w:jc w:val="both"/>
        <w:ind w:firstLine="656"/>
        <w:spacing w:after="0" w:line="258" w:lineRule="auto"/>
        <w:tabs>
          <w:tab w:leader="none" w:pos="8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Bringdown Date, the Company shall furnish to the Agent a certificate from the Company’s Corporate Secretary, dated as of a date within seven (7) days after the applicable Bringdown Date and addressed to Agent, certifying: (i) that each of the Certificate of Incorporation and Bylaws is true and complete, has not been modified and is in full force and effect; (ii) that the resolutions of the Company’s Board of Directors relating to the Offering are in full force and effect and have not been modified; (iii) the good standing of the Company; and (iv) as to the incumbency of the officers of the Company. The documents referred to in such certificate shall be attached to such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Registration Statement is declared effective and each Bringdown Date, the Company shall furnish to the Agent a certificate from the Company’s Chief Financial Officer, dated as of a date within seven (7) days after the applicable Bringdown Date and addressed to Agent, with respect to certain financial information contained in the Registration Statement, the Preliminary Prospectus and the Prospectus, in form and substance reasonably satisfactory to the Agent.</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reasonable time prior to each Bringdown Date, the Company, if so requested by the Agent, shall conduct a due diligence session, in form and substance, satisfactory to the Agent, which shall include representatives of the management and the accountants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disclose in its Annual Report on Form 10-K and its Quarterly Reports on Form 10-Q with quarterly financial information the number of Shares sold through the Agent or any of its sub-agent(s) or other designees under this Agreement, the Net Proceeds to the Company and the compensation paid by the Company with respect to sales of the Shares pursuant to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there are at all times sufficient Common Stock to provide for the issuance, free of any preemptive rights, out of its authorized but unissued Common Stock, of the maximum aggregate number of Shares authorized for issuance by the Company’s board of directors pursuant to the terms of this Agreement. The Company will use its reasonable best efforts to cause the Shares to be listed on the Nasdaq Capital Market, and to maintain such listing. The Company shall cooperate with Agent and use its reasonable efforts to permit Shares to be eligible for clearance and settlement through the facilities of DTC.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firstLine="656"/>
        <w:spacing w:after="0" w:line="282" w:lineRule="auto"/>
        <w:tabs>
          <w:tab w:leader="none" w:pos="9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during the term of this Agreement, the Company will advise the Agent promptly after it receives notice or obtains knowledge of any information or fact that would alter or affect any opinion, certificate, letter and other document provided to the Agent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any applicable requirements of Regulation M under the Exchange Act and compliance with applicable securities laws, the Company consents to the Agent trading in Common Stock for the Agent’s own account and for the account of its clients (in compliance with all applicable laws) at the same time as sales of the Shares occur pursuant to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knowledge of the Company, any condition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shall not have been satisfied on the applicable Settlement Date or will not be satisfied on or prior to the date required by this Agreement, the Company will offer to any person who has agreed to purchase the Shares on such Settlement Date from the Company as the result of an offer to purchase solicited by the Agent the right to refuse to purchase and pay for such Shares.</w:t>
      </w:r>
    </w:p>
    <w:p>
      <w:pPr>
        <w:spacing w:after="0" w:line="180" w:lineRule="exact"/>
        <w:rPr>
          <w:sz w:val="20"/>
          <w:szCs w:val="20"/>
          <w:color w:val="auto"/>
        </w:rPr>
      </w:pPr>
    </w:p>
    <w:p>
      <w:pPr>
        <w:jc w:val="both"/>
        <w:ind w:firstLine="656"/>
        <w:spacing w:after="0" w:line="258" w:lineRule="auto"/>
        <w:tabs>
          <w:tab w:leader="none" w:pos="10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issuance of a Transaction Notice to purchase the Shares hereunder shall be deemed to be an affirmation to the Agent that the representations and warranties of the Company contained in or made pursuant to this Agreement are true and correct as of the date of such acceptance as though made at and as of such date, and an undertaking that such representations and warranties will be true and correct as of the Settlement Date for the Shares relating to such acceptance, as though made at and as of such date (except that such representations and warranties shall be deemed to relate to the Registration Statement and the Prospectus, as amended and supplemented relating to such Shares).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there are at all times sufficient Common Stock to provide for the issuance, free of any preemptive rights, out of its authorized but unissued Common Stock or Common Stock held in treasury, of the maximum aggregate number of Shares authorized for issuance by the Company’s board of directors pursuant to the terms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relating to the Shares is required (including in circumstances where such requirement may be satisfied pursuant to Rule 172, 173 or any similar rule) to be delivered under the Securities Act, the Company will file all documents required to be filed with the Commission pursuant to the Exchange Act within the time periods required by the Exchange Act and the regulations thereunder.</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0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Agent and use its reasonable efforts to permit the Shares to be eligible for clearance and settlement through the facilities of DTC.</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56"/>
        <w:spacing w:after="0" w:line="268" w:lineRule="auto"/>
        <w:tabs>
          <w:tab w:leader="none" w:pos="8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Conditions of Agent’s Obligations</w:t>
      </w:r>
      <w:r>
        <w:rPr>
          <w:rFonts w:ascii="Times New Roman" w:cs="Times New Roman" w:eastAsia="Times New Roman" w:hAnsi="Times New Roman"/>
          <w:sz w:val="18"/>
          <w:szCs w:val="18"/>
          <w:color w:val="auto"/>
        </w:rPr>
        <w:t>. The obligations of the Agent hereunder are subject to (i) the accuracy of, as of the date hereof,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Bringdown Date, and each Time of Sale (in each case, as if made at such date), and compliance with, all representations, warranties and agreements of the Company contained herein, (ii) the performance by the Company of its obligations hereunder and (iii) the following additional conditions:</w:t>
      </w:r>
    </w:p>
    <w:p>
      <w:pPr>
        <w:spacing w:after="0" w:line="175" w:lineRule="exact"/>
        <w:rPr>
          <w:sz w:val="20"/>
          <w:szCs w:val="20"/>
          <w:color w:val="auto"/>
        </w:rPr>
      </w:pPr>
    </w:p>
    <w:p>
      <w:pPr>
        <w:jc w:val="both"/>
        <w:ind w:firstLine="656"/>
        <w:spacing w:after="0" w:line="254" w:lineRule="auto"/>
        <w:tabs>
          <w:tab w:leader="none" w:pos="91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filing of the Prospectus, or any amendment or supplement thereto, or any Permitted Free Writing Prospectus, is required under the Securities Act or the Rules and Regulations, the Company shall have filed the Prospectus (or such amendment or supplement) or such Permitted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any Rule 462(b) Registration Statement, or any amendment thereof, nor suspending or preventing the use of the Base Prospectus, Prospectus Supplement, the Prospectus or any Permitted Free Writing Prospectus shall have been issued; no proceedings for the issuance of such an order shall have been initiated or threatened; and any request of the Commission for additional information (to be included in the Registration Statement, the Base Prospectus, Prospectus Supplement, the Prospectus, any Permitted Free Writing Prospectus or otherwise) shall have been complied with to the Agent’s satisfaction.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7" w:lineRule="auto"/>
        <w:tabs>
          <w:tab w:leader="none" w:pos="90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have advised the Company that the Registration Statement, the Base Prospectus, Prospectus Supplement, the Prospectus, or any amendment or supplement thereto, or any Permitted Free Writing Prospectus, contains an untrue statement of fact which, in the Agent’s opinion, is material, or omits to state a fact which, in the Agent’s opinion, is material and is required to be stated therein or is necessary to make the statements therein</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Registration Statement, not misleading and (ii) with respect to the Base Prospectus, Prospectus Supplement, the Prospectus or any Permitted Free Writing Prospectus, in light of the circumstances under which they were made, not misleading.</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8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or contemplated in the Base Prospectus, Prospectus Supplement, the Prospectus and any Permitted Free Writing Prospectus, subsequent to the respective dates as of which information is given therein, the Company shall not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or any issuance of options, warrants, convertible securities or other rights to purchase the capital stock (other than as a result of the exercise of any currently outstanding stock options or warrants that are disclosed in the Prospectus), or any material change in the short-term or long-term debt, of the Company, or any Material Adverse Effect or any development that would be reasonably likely to result in a Material Adverse Effect (whether or not arising in the ordinary course of business), or any material loss by strike, fire, flood, earthquake, epidemic, pandemic, accident or other calamity, whether or not covered by insurance, incurred by the Company, the effect of which, in any such case described above, in the Agent’s judgment, makes it impractical or inadvisable to offer or deliver the Shares.</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performed each of its obligations under </w:t>
      </w:r>
      <w:r>
        <w:rPr>
          <w:rFonts w:ascii="Times New Roman" w:cs="Times New Roman" w:eastAsia="Times New Roman" w:hAnsi="Times New Roman"/>
          <w:sz w:val="18"/>
          <w:szCs w:val="18"/>
          <w:u w:val="single" w:color="auto"/>
          <w:color w:val="auto"/>
        </w:rPr>
        <w:t>Section 3(p)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performed each of its obligations under </w:t>
      </w:r>
      <w:r>
        <w:rPr>
          <w:rFonts w:ascii="Times New Roman" w:cs="Times New Roman" w:eastAsia="Times New Roman" w:hAnsi="Times New Roman"/>
          <w:sz w:val="18"/>
          <w:szCs w:val="18"/>
          <w:u w:val="single" w:color="auto"/>
          <w:color w:val="auto"/>
        </w:rPr>
        <w:t>Section 3(q)</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performed each of its obligations under </w:t>
      </w:r>
      <w:r>
        <w:rPr>
          <w:rFonts w:ascii="Times New Roman" w:cs="Times New Roman" w:eastAsia="Times New Roman" w:hAnsi="Times New Roman"/>
          <w:sz w:val="18"/>
          <w:szCs w:val="18"/>
          <w:u w:val="single" w:color="auto"/>
          <w:color w:val="auto"/>
        </w:rPr>
        <w:t>Sections 3(r), (s), (t)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raised any objection to the fairness and reasonableness of the terms and arrangements under this Agreement.</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with the Commission required by Rule 424 under the Securities Act to have been filed by the Settlement Date shall have been made within the applicable time period prescribed for such filing by Rule 424.</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7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Agent and the Agent’s counsel such additional documents, certificates and evidence as they may have reasonably requested.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6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shall not have been suspended on the Nasdaq Capital Market. The Shares shall have been listed and authorized for trading on the Nasdaq Capital Market prior to the first Settlement Date, and satisfactory evidence of such actions shall have been provided to the Agent and its counsel, which may include oral confirmation from a representative of Nasdaq.</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in place a directors and officers insurance policy, in form and substance reasonably satisfactory to Agent.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such opinions, certificates, letters and other documents will be in compliance with the provisions hereof only if they are reasonably satisfactory in form and substance to Agent and the Agent’s counsel. The Company will furnish Agent with such conformed copies of such opinions, certificates, letters and other documents as Agent shall reasonably request.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Indemnification and Contribution.</w:t>
      </w:r>
    </w:p>
    <w:p>
      <w:pPr>
        <w:spacing w:after="0" w:line="229" w:lineRule="exact"/>
        <w:rPr>
          <w:sz w:val="20"/>
          <w:szCs w:val="20"/>
          <w:color w:val="auto"/>
        </w:rPr>
      </w:pPr>
    </w:p>
    <w:p>
      <w:pPr>
        <w:jc w:val="both"/>
        <w:ind w:firstLine="656"/>
        <w:spacing w:after="0" w:line="252" w:lineRule="auto"/>
        <w:tabs>
          <w:tab w:leader="none" w:pos="9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agrees to indemnify and hold harmless the Agent and each of the other Indemnified Parties (as defined below) from and against, and pay on demand for, any and all losses, claims, damages, obligations, penalties, judgments, awards, liabilities, costs, expenses and disbursements, and any and all actions, suits, proceedings and investigations in respect thereof and any and all legal and other costs, expenses and disbursements in giving testimony or furnishing documents in response to subpoena or otherwise (including, without limitation, the costs, expenses and disbursements, as and when incurred, of investigating, preparing, pursuing or defending any such action, suit, proceeding or investigation (whether or not in connection with litigation in which any Indemnified Party is a party))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directly or indirectly, caused by, relating to, based upon, arising out of, or in connection with this Agreement, including, without limitation, any act or omission by the Agent in connection with its acceptance of or the performance or non-performance of its obligations under the Agreement, any and all Losses as incurred arising out of or based upon any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Permitted Free Writing Prospectus, the Base Prospectus, any Prospectus Supplement and the Prospectus (or any amendment or supplement thereto), or the omission or alleged omission therefrom of a material fact necessary in order to make the statements therein, in the light of the circumstances under which they were made, not misleading, any breach by the Company of any representation, warranty, covenant or agreement contained in the Agreement (or in any instrument, document or agreement relating thereto, including any agency agreement), or the enforcement by the Agent of its rights under the Agreement or these indemnification provisions, except to the extent that any such Losses are found in a final judgment by a court of competent jurisdiction (not subject to further appeal) to have resulted primarily and directly from the gross negligence or willful misconduct of the Indemnified Party seeking indemnification hereunder. The Company also agrees that no Indemnified Party shall have any liability (whether direct or indirect, in contract or tort or otherwise) to the Company for or in connection with this Agreement for any other reason, except to the extent that any such liability is found in a final judgment by a court of competent jurisdiction (not subject to further appeal) to have resulted primarily and directly from such Indemnified Party’s gross negligence or willful misconduct This indemnity agreement will be in addition to any liability that the Company otherwise might have.</w:t>
      </w:r>
    </w:p>
    <w:p>
      <w:pPr>
        <w:spacing w:after="0" w:line="184" w:lineRule="exact"/>
        <w:rPr>
          <w:sz w:val="20"/>
          <w:szCs w:val="20"/>
          <w:color w:val="auto"/>
        </w:rPr>
      </w:pPr>
    </w:p>
    <w:p>
      <w:pPr>
        <w:jc w:val="both"/>
        <w:ind w:firstLine="656"/>
        <w:spacing w:after="0" w:line="259" w:lineRule="auto"/>
        <w:tabs>
          <w:tab w:leader="none" w:pos="9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indemnification provisions shall extend to the following persons (collectively, the “</w:t>
      </w:r>
      <w:r>
        <w:rPr>
          <w:rFonts w:ascii="Times New Roman" w:cs="Times New Roman" w:eastAsia="Times New Roman" w:hAnsi="Times New Roman"/>
          <w:sz w:val="18"/>
          <w:szCs w:val="18"/>
          <w:b w:val="1"/>
          <w:bCs w:val="1"/>
          <w:i w:val="1"/>
          <w:iCs w:val="1"/>
          <w:color w:val="auto"/>
        </w:rPr>
        <w:t>Indemnified Parties</w:t>
      </w:r>
      <w:r>
        <w:rPr>
          <w:rFonts w:ascii="Times New Roman" w:cs="Times New Roman" w:eastAsia="Times New Roman" w:hAnsi="Times New Roman"/>
          <w:sz w:val="18"/>
          <w:szCs w:val="18"/>
          <w:color w:val="auto"/>
        </w:rPr>
        <w:t>”): the Agent, its present and former affiliates, managers, members, officers, employees, legal counsel, agents and controlling persons (within the meaning of Section 15 of the Securities Act and Section 20 of the Exchange Act), each of the Agent’s sub-agents and other designees utilized by the Agent in connection with this Offering, and the officers, directors, partners, stockholders, members, managers, employees, legal counsel, agents and controlling persons of any of them. These indemnification provisions shall be in addition to any liability which the Company may otherwise have to any Indemnified Party.</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action, suit, proceeding or investigation is commenced, as to which an Indemnified Party proposes to demand indemnification, it shall notify the Company with reasonable promptness;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failure by an Indemnified Party to notify the Company shall not relieve the Company from its obligations hereunder except to the extent that the Company is actually and materially prejudiced by such failure to notify. An Indemnified Party shall have the right to retain counsel of its own choice to represent it, and the fees, expenses and disbursements of such counsel shall be borne by the Company. Any such counsel shall, to the extent consistent with its professional responsibilities, cooperate with the Company and any counsel designated by the Company. The Company shall be liable for any settlement of any claim against any Indemnified Party made with the Company’s written consent. The Company shall not, without the prior written consent of the Agent, settle or compromise any claim, or permit a default or consent to the entry of any judgment in respect thereof, unless such settlement, compromise or consent (i) includes, as an unconditional term thereof, the giving by the claimant to all of the Indemnified Parties of an unconditional release from all liability in respect of such claim, and (ii) does not contain any factual or legal admission by or with respect to an Indemnified Party or an adverse statement with respect to the character, professionalism, expertise or reputation of any Indemnified Party or any action or inaction of any Indemnified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656"/>
        <w:spacing w:after="0" w:line="253" w:lineRule="auto"/>
        <w:tabs>
          <w:tab w:leader="none" w:pos="9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provide for just and equitable contribution, if a claim for indemnification pursuant to these indemnification provisions is made but it is found in a final judgment by a court of competent jurisdiction (not subject to further appeal) that such indemnification may not be enforced in such case, even though the express provisions hereof provide for indemnification in such case, then the Company shall contribute to the Losses to which any Indemnified Party may be subject (i) in accordance with the relative benefits received by the Company and its stockholders, subsidiaries and affiliates, on the one hand, and the Indemnified Party, on the other hand, and (ii) if (and only if) the allocation provided in clause (i) of this sentence is not permitted by applicable law, in such proportion as to reflect not only the relative benefits, but also the relative fault of the Company, on the one hand, and the Indemnified Party, on the other hand, in connection with the statements, acts or omissions which resulted in such Losses as well as any relevant equitable considerations. No person found liable for a fraudulent misrepresentation shall be entitled to contribution from any person who is not also found liable for fraudulent misrepresentation. The relative benefits received (or anticipated to be received) by the Company and its stockholders, subsidiaries and affiliates shall be deemed to be equal to the aggregate consideration payable or receivable by such parties in connection with the transaction or transactions to which the Agreement relates relative to the amount of fees actually received by the Agent in connection with such transaction or transactions. Notwithstanding the foregoing, in no event shall the amount contributed by all Indemnified Parties exceed the amount of fees previously received by the Agent pursuant to the Agreement.</w:t>
      </w:r>
    </w:p>
    <w:p>
      <w:pPr>
        <w:spacing w:after="0" w:line="187" w:lineRule="exact"/>
        <w:rPr>
          <w:sz w:val="20"/>
          <w:szCs w:val="20"/>
          <w:color w:val="auto"/>
        </w:rPr>
      </w:pPr>
    </w:p>
    <w:p>
      <w:pPr>
        <w:jc w:val="both"/>
        <w:ind w:firstLine="656"/>
        <w:spacing w:after="0" w:line="253" w:lineRule="auto"/>
        <w:tabs>
          <w:tab w:leader="none" w:pos="9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Agent will indemnify and hold harmless the Company and its affiliates and directors and each officer of the Company who signed the Registration Statement and each person, if any, who controls the Company within the meaning of Section 15 of the Securities Act or Section 20 of the Exchange Act (the “</w:t>
      </w:r>
      <w:r>
        <w:rPr>
          <w:rFonts w:ascii="Times New Roman" w:cs="Times New Roman" w:eastAsia="Times New Roman" w:hAnsi="Times New Roman"/>
          <w:sz w:val="18"/>
          <w:szCs w:val="18"/>
          <w:b w:val="1"/>
          <w:bCs w:val="1"/>
          <w:i w:val="1"/>
          <w:iCs w:val="1"/>
          <w:color w:val="auto"/>
        </w:rPr>
        <w:t>Company Indemnified Parties</w:t>
      </w:r>
      <w:r>
        <w:rPr>
          <w:rFonts w:ascii="Times New Roman" w:cs="Times New Roman" w:eastAsia="Times New Roman" w:hAnsi="Times New Roman"/>
          <w:sz w:val="18"/>
          <w:szCs w:val="18"/>
          <w:color w:val="auto"/>
        </w:rPr>
        <w:t xml:space="preserve">”) from and against any Losses to which the Company or the Company Indemnified Parties may become subject, under the Securities Act or otherwise (including in settlement of any litigation, if such settlement is effected with the written consent of the Agent), insofar as such losses, claims, damages or liabilities (or actions in respect thereof) arise out of or are based upon an untrue statement or omission or alleged untrue statement or omission of a material fact contained in the Registration Statement, any Base Prospectus, Prospectus Supplement, the Prospectus, or any amendment or supplement thereto or any Permitted Free Writing Prospectus, but only and solely to the extent that such untrue statement or alleged untrue statement or omission or alleged omission was made in the Registration Statement, any Base Prospectus, Prospectus Supplement, the Prospectus, or any amendment or supplement thereto, or any Permitted Free Writing Prospectus in reliance upon and in conformity with written information furnished to the Company by Agent expressly for use in the preparation thereof, it being understood and agreed that the only information furnished by the Agent consists of the information described as such in </w:t>
      </w:r>
      <w:r>
        <w:rPr>
          <w:rFonts w:ascii="Times New Roman" w:cs="Times New Roman" w:eastAsia="Times New Roman" w:hAnsi="Times New Roman"/>
          <w:sz w:val="18"/>
          <w:szCs w:val="18"/>
          <w:u w:val="single" w:color="auto"/>
          <w:color w:val="auto"/>
        </w:rPr>
        <w:t>Section 5(b)(ii)</w:t>
      </w:r>
      <w:r>
        <w:rPr>
          <w:rFonts w:ascii="Times New Roman" w:cs="Times New Roman" w:eastAsia="Times New Roman" w:hAnsi="Times New Roman"/>
          <w:sz w:val="18"/>
          <w:szCs w:val="18"/>
          <w:color w:val="auto"/>
        </w:rPr>
        <w:t xml:space="preserve"> hereof, by the Company in connection with investigating or defending against any such loss, claim, damage, liability or action.</w:t>
      </w:r>
    </w:p>
    <w:p>
      <w:pPr>
        <w:spacing w:after="0" w:line="190" w:lineRule="exact"/>
        <w:rPr>
          <w:sz w:val="20"/>
          <w:szCs w:val="20"/>
          <w:color w:val="auto"/>
        </w:rPr>
      </w:pPr>
    </w:p>
    <w:p>
      <w:pPr>
        <w:jc w:val="both"/>
        <w:ind w:firstLine="656"/>
        <w:spacing w:after="0" w:line="266" w:lineRule="auto"/>
        <w:tabs>
          <w:tab w:leader="none" w:pos="9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confirms and the Company acknowledges that as of the date hereof no information has been furnished in writing to the Company by or on behalf of the Agent specifically for inclusion in the Registration Statement, any Base Prospectus, Prospectus Supplement, the Prospectus or any Permitted Free Writing Prospectus.</w:t>
      </w:r>
    </w:p>
    <w:p>
      <w:pPr>
        <w:spacing w:after="0" w:line="176" w:lineRule="exact"/>
        <w:rPr>
          <w:sz w:val="20"/>
          <w:szCs w:val="20"/>
          <w:color w:val="auto"/>
        </w:rPr>
      </w:pPr>
    </w:p>
    <w:p>
      <w:pPr>
        <w:ind w:left="900" w:hanging="244"/>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unavailable or insufficient to hold harmless an indemnified party under subsection (a) or</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and the total commissions received by the Agent from the sale of the Shares. The relative fault shall be determined by reference to, among other things, whether the untrue or alleged untrue statement of a material fact or the omission or alleged omission to state a material fact relates to information supplied by the Company or the Agent and the parties’ relevant intent, knowledge, access to information and opportunity to correct or prevent such untrue statement or omission. The Company and the Agent agree that it would not be just and equitable if contributions pursuant to this subsection (c) were to be determined by pro rata allocation or by any other method of allocation which does not take account of the equitable considerations referred to in the first sentence of this subsection (c). The amount paid by an indemnified party as a result of the losses, claims, damages or liabilities referred to in the first sentence of this subsection (c) shall be deemed to include any legal or other expenses reasonably incurred by such indemnified party in connection with investigating or defending against any action or claim which is the subject of this subsection (c). Notwithstanding the provisions of this subsection (c), the Agent shall not be required to contribute any amount in excess of the amount by which the total price at which the Shares underwritten by it and distributed to the public were offered to the public exceeds the amount of any damages that the Agent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61" w:lineRule="auto"/>
        <w:tabs>
          <w:tab w:leader="none" w:pos="93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termination of this Agreement nor completion of the Offering shall affect these indemnification provisions, which shall remain operative and in full force and effect. The indemnification provisions shall be binding upon the Company and the Agent and their respective successors and assigns and shall inure to the benefit of the Indemnified Parties and the Company Indemnified Parties and their respective successors, assigns, heirs and personal representatives.</w:t>
      </w:r>
    </w:p>
    <w:p>
      <w:pPr>
        <w:spacing w:after="0" w:line="176" w:lineRule="exact"/>
        <w:rPr>
          <w:sz w:val="20"/>
          <w:szCs w:val="20"/>
          <w:color w:val="auto"/>
        </w:rPr>
      </w:pPr>
    </w:p>
    <w:p>
      <w:pPr>
        <w:jc w:val="both"/>
        <w:ind w:firstLine="656"/>
        <w:spacing w:after="0" w:line="259" w:lineRule="auto"/>
        <w:tabs>
          <w:tab w:leader="none" w:pos="84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and Agreements to Survive Delivery</w:t>
      </w:r>
      <w:r>
        <w:rPr>
          <w:rFonts w:ascii="Times New Roman" w:cs="Times New Roman" w:eastAsia="Times New Roman" w:hAnsi="Times New Roman"/>
          <w:sz w:val="18"/>
          <w:szCs w:val="18"/>
          <w:color w:val="auto"/>
        </w:rPr>
        <w:t>. All representations and warranties of the Company herein or in certificates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pursuant hereto, and agreements of the Agent and the Company herein, including but not limited to the agreements of the Agent and the Company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 of this Agreement.</w:t>
      </w:r>
    </w:p>
    <w:p>
      <w:pPr>
        <w:spacing w:after="0" w:line="229" w:lineRule="exact"/>
        <w:rPr>
          <w:sz w:val="20"/>
          <w:szCs w:val="20"/>
          <w:color w:val="auto"/>
        </w:rPr>
      </w:pPr>
    </w:p>
    <w:p>
      <w:pPr>
        <w:jc w:val="both"/>
        <w:ind w:firstLine="656"/>
        <w:spacing w:after="0" w:line="255"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written notice as hereinafter specified, to terminate the provisions of this Agreement relating to the solicitation of offers to purchase the Shares in its sole discretion at any time upon three (3) days’ prior written notice. Any such termination shall be without liability of any party to any other party except that (i) if the Shares have been sold through the Agent or any of its sub-agent(s) or other designees for the Company, then </w:t>
      </w:r>
      <w:r>
        <w:rPr>
          <w:rFonts w:ascii="Times New Roman" w:cs="Times New Roman" w:eastAsia="Times New Roman" w:hAnsi="Times New Roman"/>
          <w:sz w:val="18"/>
          <w:szCs w:val="18"/>
          <w:u w:val="single" w:color="auto"/>
          <w:color w:val="auto"/>
        </w:rPr>
        <w:t>Sections 3(g)</w:t>
      </w:r>
      <w:r>
        <w:rPr>
          <w:rFonts w:ascii="Times New Roman" w:cs="Times New Roman" w:eastAsia="Times New Roman" w:hAnsi="Times New Roman"/>
          <w:sz w:val="18"/>
          <w:szCs w:val="18"/>
          <w:color w:val="auto"/>
        </w:rPr>
        <w:t>, 3</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3(y)</w:t>
      </w:r>
      <w:r>
        <w:rPr>
          <w:rFonts w:ascii="Times New Roman" w:cs="Times New Roman" w:eastAsia="Times New Roman" w:hAnsi="Times New Roman"/>
          <w:sz w:val="18"/>
          <w:szCs w:val="18"/>
          <w:color w:val="auto"/>
        </w:rPr>
        <w:t xml:space="preserve"> shall remain in full force and effect, (ii) with respect to any pending sale, through the Agent or any of its sub-agent(s) or other designees for the Company, the obligations of the Company with respect to such pending sale of Shares, including in respect of compensation of the Agent, shall remain in full force and effect notwithstanding such termination and (iii) the provisions of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shall remain in full force and effect notwithstanding such termination.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the provisions of the last three sentences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and the entirety of </w:t>
      </w:r>
      <w:r>
        <w:rPr>
          <w:rFonts w:ascii="Times New Roman" w:cs="Times New Roman" w:eastAsia="Times New Roman" w:hAnsi="Times New Roman"/>
          <w:sz w:val="18"/>
          <w:szCs w:val="18"/>
          <w:u w:val="single" w:color="auto"/>
          <w:color w:val="auto"/>
        </w:rPr>
        <w:t>Section 3(o)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shall remain in full force and effect notwithstanding such termination and (ii) the provisions of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other than the last three sentences thereof shall remain in full force and effect only if the Agent has terminated this Agreement as a result of the Company’s default of its obligations hereunder and its failure to cure any default within a reasonable period of time.</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for twelve (12) months from the date hereof, by and between the Company and the Agent, unless terminated pursuant to </w:t>
      </w:r>
      <w:r>
        <w:rPr>
          <w:rFonts w:ascii="Times New Roman" w:cs="Times New Roman" w:eastAsia="Times New Roman" w:hAnsi="Times New Roman"/>
          <w:sz w:val="18"/>
          <w:szCs w:val="18"/>
          <w:u w:val="single" w:color="auto"/>
          <w:color w:val="auto"/>
        </w:rPr>
        <w:t>Sections 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or otherwise by mutual agreement of the parties; provided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remain in full force and effect. This Agreement shall terminate automatically upon the issuance and sale of Shares having an aggregate offering price equal to the amount set forth in the first paragraph of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the Shares, such sale shall settle in accordance with the provisions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56"/>
        <w:spacing w:after="0" w:line="259" w:lineRule="auto"/>
        <w:tabs>
          <w:tab w:leader="none" w:pos="8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Default by the Company</w:t>
      </w:r>
      <w:r>
        <w:rPr>
          <w:rFonts w:ascii="Times New Roman" w:cs="Times New Roman" w:eastAsia="Times New Roman" w:hAnsi="Times New Roman"/>
          <w:sz w:val="18"/>
          <w:szCs w:val="18"/>
          <w:color w:val="auto"/>
        </w:rPr>
        <w:t>. If the Company shall fail at any Settlement Date to sell and deliver the number of Shares which it is obligated to sell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hereunder, then the Company shall have five (5) business days to cure such default and deliver such Shares. No action taken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relieve the Company from liability, if any, in respect of such default, and the Company shall (A) hold the Agent or any of its sub-agent(s) or other designees harmless against any loss, claim or damage arising from or as a result of such default by the Company and (B) pay the Agent any commission to which it would otherwise be entitled absent such default.</w:t>
      </w:r>
    </w:p>
    <w:p>
      <w:pPr>
        <w:spacing w:after="0" w:line="179"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Except as otherwise provided herein, all communications under this Agreement shall be in writing and, if to the Agent, shall be mailed,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sent by facsimile or email transmission Univest Securities, LLC, 75 Rockefeller Plaza, Suite 25A, New York, NY, 10019, Attention: Edric Guo (email: </w:t>
      </w:r>
      <w:r>
        <w:rPr>
          <w:rFonts w:ascii="Times New Roman" w:cs="Times New Roman" w:eastAsia="Times New Roman" w:hAnsi="Times New Roman"/>
          <w:sz w:val="18"/>
          <w:szCs w:val="18"/>
          <w:u w:val="single" w:color="auto"/>
          <w:color w:val="auto"/>
        </w:rPr>
        <w:t>yguo@univest.us</w:t>
      </w:r>
      <w:r>
        <w:rPr>
          <w:rFonts w:ascii="Times New Roman" w:cs="Times New Roman" w:eastAsia="Times New Roman" w:hAnsi="Times New Roman"/>
          <w:sz w:val="18"/>
          <w:szCs w:val="18"/>
          <w:color w:val="auto"/>
        </w:rPr>
        <w:t xml:space="preserve"> ) or at such other address and/or contact information which may be furnished by Univest Securities, LLC to the Company expressly for such purpose. Notices to the Company shall be given to it at 11 Town Square Place, Suite #1203, Jersey City, NJ 07310, Attention: Xiaojian Wang, Chief Executive Officer, President and Chairman of the Board of Directors (email: </w:t>
      </w:r>
      <w:r>
        <w:rPr>
          <w:rFonts w:ascii="Times New Roman" w:cs="Times New Roman" w:eastAsia="Times New Roman" w:hAnsi="Times New Roman"/>
          <w:sz w:val="18"/>
          <w:szCs w:val="18"/>
          <w:u w:val="single" w:color="auto"/>
          <w:color w:val="auto"/>
        </w:rPr>
        <w:t>awang@gdculturegroup.com</w:t>
      </w:r>
      <w:r>
        <w:rPr>
          <w:rFonts w:ascii="Times New Roman" w:cs="Times New Roman" w:eastAsia="Times New Roman" w:hAnsi="Times New Roman"/>
          <w:sz w:val="18"/>
          <w:szCs w:val="18"/>
          <w:color w:val="auto"/>
        </w:rPr>
        <w:t>) , with a required copy (which shall not constitute notice) to McLaughlin &amp; Stern, LLP,260 Madison Ave., 18th Floor, New York, NY 10016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Attn: Zhaocong “Richard” Xu, (fax: (212) 448-0066 email: RXu@mclaughlinstern.com).</w:t>
      </w:r>
    </w:p>
    <w:p>
      <w:pPr>
        <w:spacing w:after="0" w:line="201" w:lineRule="exact"/>
        <w:rPr>
          <w:sz w:val="20"/>
          <w:szCs w:val="20"/>
          <w:color w:val="auto"/>
        </w:rPr>
      </w:pPr>
    </w:p>
    <w:p>
      <w:pPr>
        <w:ind w:firstLine="656"/>
        <w:spacing w:after="0" w:line="282" w:lineRule="auto"/>
        <w:tabs>
          <w:tab w:leader="none" w:pos="82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to this Agreement may change such address for notices by sending to the parties to this Agreement written notice of a new address for such purpose.</w:t>
      </w:r>
    </w:p>
    <w:p>
      <w:pPr>
        <w:spacing w:after="0" w:line="157" w:lineRule="exact"/>
        <w:rPr>
          <w:rFonts w:ascii="Times New Roman" w:cs="Times New Roman" w:eastAsia="Times New Roman" w:hAnsi="Times New Roman"/>
          <w:sz w:val="18"/>
          <w:szCs w:val="18"/>
          <w:color w:val="auto"/>
        </w:rPr>
      </w:pPr>
    </w:p>
    <w:p>
      <w:pPr>
        <w:jc w:val="both"/>
        <w:ind w:firstLine="656"/>
        <w:spacing w:after="0" w:line="262" w:lineRule="auto"/>
        <w:tabs>
          <w:tab w:leader="none" w:pos="93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176" w:lineRule="exact"/>
        <w:rPr>
          <w:rFonts w:ascii="Times New Roman" w:cs="Times New Roman" w:eastAsia="Times New Roman" w:hAnsi="Times New Roman"/>
          <w:sz w:val="18"/>
          <w:szCs w:val="18"/>
          <w:color w:val="auto"/>
        </w:rPr>
      </w:pPr>
    </w:p>
    <w:p>
      <w:pPr>
        <w:jc w:val="both"/>
        <w:ind w:firstLine="656"/>
        <w:spacing w:after="0" w:line="253" w:lineRule="auto"/>
        <w:tabs>
          <w:tab w:leader="none" w:pos="92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Absence of Fiduciary Relationship</w:t>
      </w:r>
      <w:r>
        <w:rPr>
          <w:rFonts w:ascii="Times New Roman" w:cs="Times New Roman" w:eastAsia="Times New Roman" w:hAnsi="Times New Roman"/>
          <w:sz w:val="18"/>
          <w:szCs w:val="18"/>
          <w:color w:val="auto"/>
        </w:rPr>
        <w:t>. The Company acknowledges and agrees that: (a) the Agent has been retained solely to act as an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agent and/or principal in connection with the sale of the Shares and that no fiduciary, advisory or agency relationship between the Company and the Agent has been created in respect of any of the transactions contemplated by this Agreement, irrespective of whether the Agent has advised or are advising the Company on other matters; (b) the price and other terms of the Shares set forth in this Agreement were established by the Company following discussions and arms-length negotiations with the Agent and the Company is capable of evaluating and understanding and understands and accepts the terms, risks and conditions of the transactions contemplated by this Agreement; (c) it has been advised that the Agent and its affiliates are engaged in a broad range of transactions which may involve interests that differ from those of the Company and that the Agent has no obligation to disclose such interest and transactions to the Company by virtue of any fiduciary, advisory or agency relationship;</w:t>
      </w:r>
    </w:p>
    <w:p>
      <w:pPr>
        <w:spacing w:after="0" w:line="4" w:lineRule="exact"/>
        <w:rPr>
          <w:rFonts w:ascii="Times New Roman" w:cs="Times New Roman" w:eastAsia="Times New Roman" w:hAnsi="Times New Roman"/>
          <w:sz w:val="18"/>
          <w:szCs w:val="18"/>
          <w:color w:val="auto"/>
        </w:rPr>
      </w:pPr>
    </w:p>
    <w:p>
      <w:pPr>
        <w:jc w:val="both"/>
        <w:ind w:firstLine="8"/>
        <w:spacing w:after="0" w:line="253" w:lineRule="auto"/>
        <w:tabs>
          <w:tab w:leader="none" w:pos="2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that the Agent is acting, in respect of the transactions contemplated by this Agreement, solely for the benefit of the Agent, and not on behalf of the Company; and (e) it waives to the fullest extent permitted by law, any claims it may have against the Agent for breach of fiduciary duty or alleged breach of fiduciary duty in respect of any of the transactions contemplated by this Agreement and agrees that the Agent shall have no liability (whether direct or indirect) to the Company in respect of such a fiduciary duty claim on behalf of or in right of the Company, including stockholders, employees or creditors of the Company.</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91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including Section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5-1401 of the General Obligations Law of the State of New York, but otherwise without regard to conflict of laws rules that would apply the laws of any other jurisdiction.</w:t>
      </w:r>
    </w:p>
    <w:p>
      <w:pPr>
        <w:spacing w:after="0" w:line="170" w:lineRule="exact"/>
        <w:rPr>
          <w:rFonts w:ascii="Times New Roman" w:cs="Times New Roman" w:eastAsia="Times New Roman" w:hAnsi="Times New Roman"/>
          <w:sz w:val="18"/>
          <w:szCs w:val="18"/>
          <w:color w:val="auto"/>
        </w:rPr>
      </w:pPr>
    </w:p>
    <w:p>
      <w:pPr>
        <w:jc w:val="both"/>
        <w:ind w:firstLine="656"/>
        <w:spacing w:after="0" w:line="259" w:lineRule="auto"/>
        <w:tabs>
          <w:tab w:leader="none" w:pos="93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Agreement may be executed in one or more counterparts and, if executed in more than one counterpart, the executed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counterparts shall each be deemed to be an original and all such counterparts shall together constitute one and the same instrument. In the event that any signature is delivered by facsimile transmission or a .pdf or other electronic format file, such signature shall create a valid and binding obligation of the party executing (or on whose behalf such signature is executed) with the same force and effect as if such facsimile or .pdf or other electronic signature page were an original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right="20" w:firstLine="656"/>
        <w:spacing w:after="0" w:line="286" w:lineRule="auto"/>
        <w:tabs>
          <w:tab w:leader="none" w:pos="9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Adjustments for Stock Splits</w:t>
      </w:r>
      <w:r>
        <w:rPr>
          <w:rFonts w:ascii="Times New Roman" w:cs="Times New Roman" w:eastAsia="Times New Roman" w:hAnsi="Times New Roman"/>
          <w:sz w:val="18"/>
          <w:szCs w:val="18"/>
          <w:color w:val="auto"/>
        </w:rPr>
        <w:t>. The parties hereto acknowledge and agree that all share-related numbers contained in this Agreement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to take into account any stock split, stock dividend or similar event effected by the Company with respect to the Shares.</w:t>
      </w:r>
    </w:p>
    <w:p>
      <w:pPr>
        <w:spacing w:after="0" w:line="154" w:lineRule="exact"/>
        <w:rPr>
          <w:rFonts w:ascii="Times New Roman" w:cs="Times New Roman" w:eastAsia="Times New Roman" w:hAnsi="Times New Roman"/>
          <w:sz w:val="18"/>
          <w:szCs w:val="18"/>
          <w:color w:val="auto"/>
        </w:rPr>
      </w:pPr>
    </w:p>
    <w:p>
      <w:pPr>
        <w:jc w:val="both"/>
        <w:ind w:firstLine="656"/>
        <w:spacing w:after="0" w:line="254" w:lineRule="auto"/>
        <w:tabs>
          <w:tab w:leader="none" w:pos="9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Entire Agreement; Amendment; Severability; Headings</w:t>
      </w:r>
      <w:r>
        <w:rPr>
          <w:rFonts w:ascii="Times New Roman" w:cs="Times New Roman" w:eastAsia="Times New Roman" w:hAnsi="Times New Roman"/>
          <w:sz w:val="18"/>
          <w:szCs w:val="18"/>
          <w:color w:val="auto"/>
        </w:rPr>
        <w:t>. This Agreement (including all schedules and exhibits attached hereto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waived or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The section headings used in this Agreement are for convenience only and shall not affect the construction hereof.</w:t>
      </w:r>
    </w:p>
    <w:p>
      <w:pPr>
        <w:spacing w:after="0" w:line="188" w:lineRule="exact"/>
        <w:rPr>
          <w:rFonts w:ascii="Times New Roman" w:cs="Times New Roman" w:eastAsia="Times New Roman" w:hAnsi="Times New Roman"/>
          <w:sz w:val="18"/>
          <w:szCs w:val="18"/>
          <w:color w:val="auto"/>
        </w:rPr>
      </w:pPr>
    </w:p>
    <w:p>
      <w:pPr>
        <w:ind w:right="20" w:firstLine="656"/>
        <w:spacing w:after="0" w:line="286" w:lineRule="auto"/>
        <w:tabs>
          <w:tab w:leader="none" w:pos="9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Each of the Company and the Agent hereby waives any right it may have to a trial by jury in respect of any claim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or arising out of this Agreement or the transactions contemplated hereby.</w:t>
      </w:r>
    </w:p>
    <w:p>
      <w:pPr>
        <w:spacing w:after="0" w:line="154" w:lineRule="exact"/>
        <w:rPr>
          <w:rFonts w:ascii="Times New Roman" w:cs="Times New Roman" w:eastAsia="Times New Roman" w:hAnsi="Times New Roman"/>
          <w:sz w:val="18"/>
          <w:szCs w:val="18"/>
          <w:color w:val="auto"/>
        </w:rPr>
      </w:pPr>
    </w:p>
    <w:p>
      <w:pPr>
        <w:jc w:val="both"/>
        <w:ind w:firstLine="656"/>
        <w:spacing w:after="0" w:line="253" w:lineRule="auto"/>
        <w:tabs>
          <w:tab w:leader="none" w:pos="9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Submission to Jurisdiction</w:t>
      </w:r>
      <w:r>
        <w:rPr>
          <w:rFonts w:ascii="Times New Roman" w:cs="Times New Roman" w:eastAsia="Times New Roman" w:hAnsi="Times New Roman"/>
          <w:sz w:val="18"/>
          <w:szCs w:val="18"/>
          <w:color w:val="auto"/>
        </w:rPr>
        <w:t>. The Company irrevocably submits to the non-exclusive jurisdiction of any New York State or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court sitting in The City of New York, Borough of Manhattan, over any suit, action or proceeding arising out of or relating to this Agreement, the Prospectus, the Registration Statement, or the offering of the Shares. The Company irrevocably waives, to the fullest extent permitted by law, any objection which it may now or hereafter have to the laying of venue of any such suit, action or proceeding brought in such a court and any claim that any such suit, action or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 including without limitation, any immunity pursuant to the U.S. Foreign Sovereign Immunities Act of 1976, as amended. Each of the Agent and the Company further agrees to accept and acknowledge service of any and all process which may be served in any such suit, action or proceeding in the Supreme Court of the State of New York, New York County, or in the United States District Court for the Southern District of New York and agrees that service of process upon the Company mailed by certified mail or delivered by Federal Express via overnight delivery to the Company’s address shall be deemed in every respect effective service of process upon the Company in any such suit, action or proceeding, and service of process upon the Agent mailed by certified mail or delivered by Federal Express via overnight delivery to the Agent’s address shall be deemed in every respect effective service of process upon such Agent in any such suit, action or proceeding.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the enclosed duplicate of this At-The-Market Issuance Sales Agreement, whereupon this letter and your acceptance shall represent a binding agreement between the Company and the Agent in accordance with its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Xiaojian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Xiaojian Wang</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as of the date first above mentioned.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UNIVEST SECURITIES, LLC, as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Edric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Edric Guo</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GDC At-The-Market Issuance Sales Agreement]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8"/>
          <w:szCs w:val="18"/>
          <w:color w:val="auto"/>
        </w:rPr>
        <w:t>Permitted Free Writing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4" w:name="page35"/>
    <w:bookmarkEnd w:id="34"/>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9"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Individuals Permitted to Authorize Sales of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9" w:lineRule="exact"/>
        <w:rPr>
          <w:sz w:val="20"/>
          <w:szCs w:val="20"/>
          <w:color w:val="auto"/>
        </w:rPr>
      </w:pPr>
    </w:p>
    <w:p>
      <w:pPr>
        <w:ind w:left="1140" w:hanging="439"/>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Xiaojian Wang, Chief Executive Officer</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Transaction Notice</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GD Culture Group Limited</w:t>
      </w:r>
    </w:p>
    <w:p>
      <w:pPr>
        <w:spacing w:after="0" w:line="200" w:lineRule="exact"/>
        <w:rPr>
          <w:sz w:val="20"/>
          <w:szCs w:val="20"/>
          <w:color w:val="auto"/>
        </w:rPr>
      </w:pPr>
    </w:p>
    <w:p>
      <w:pPr>
        <w:sectPr>
          <w:pgSz w:w="11900" w:h="16838" w:orient="portrait"/>
          <w:cols w:equalWidth="0" w:num="2">
            <w:col w:w="980" w:space="720"/>
            <w:col w:w="9540"/>
          </w:cols>
          <w:pgMar w:left="320" w:top="90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Univest Securities, LLC</w:t>
      </w:r>
    </w:p>
    <w:p>
      <w:pPr>
        <w:spacing w:after="0" w:line="200" w:lineRule="exact"/>
        <w:rPr>
          <w:sz w:val="20"/>
          <w:szCs w:val="20"/>
          <w:color w:val="auto"/>
        </w:rPr>
      </w:pPr>
    </w:p>
    <w:p>
      <w:pPr>
        <w:sectPr>
          <w:pgSz w:w="11900" w:h="16838" w:orient="portrait"/>
          <w:cols w:equalWidth="0" w:num="2">
            <w:col w:w="980" w:space="720"/>
            <w:col w:w="9540"/>
          </w:cols>
          <w:pgMar w:left="320" w:top="90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Notice</w:t>
      </w:r>
    </w:p>
    <w:p>
      <w:pPr>
        <w:spacing w:after="0" w:line="211" w:lineRule="exact"/>
        <w:rPr>
          <w:sz w:val="20"/>
          <w:szCs w:val="20"/>
          <w:color w:val="auto"/>
        </w:rPr>
      </w:pPr>
    </w:p>
    <w:p>
      <w:pPr>
        <w:sectPr>
          <w:pgSz w:w="11900" w:h="16838" w:orient="portrait"/>
          <w:cols w:equalWidth="0" w:num="2">
            <w:col w:w="980" w:space="720"/>
            <w:col w:w="954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202[_]</w:t>
      </w:r>
    </w:p>
    <w:p>
      <w:pPr>
        <w:spacing w:after="0" w:line="200" w:lineRule="exact"/>
        <w:rPr>
          <w:sz w:val="20"/>
          <w:szCs w:val="20"/>
          <w:color w:val="auto"/>
        </w:rPr>
      </w:pPr>
    </w:p>
    <w:p>
      <w:pPr>
        <w:sectPr>
          <w:pgSz w:w="11900" w:h="16838" w:orient="portrait"/>
          <w:cols w:equalWidth="0" w:num="2">
            <w:col w:w="980" w:space="720"/>
            <w:col w:w="954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At-The-Market Issuance Sales Agreement between GD Culture Group Limited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Univest Securities, LLC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dated April 28, 2026, the Company hereby requests that the Agent sell up to [•] of the Company’s common stock, par value $0.0001 per share, at a minimum market price of $[•] per share, during the time period beginning [month, day, time] and ending [month, day,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6" w:name="page37"/>
    <w:bookmarkEnd w:id="36"/>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D</w:t>
      </w:r>
    </w:p>
    <w:p>
      <w:pPr>
        <w:spacing w:after="0" w:line="229"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color w:val="auto"/>
        </w:rPr>
        <w:t>Individual to Which Notice Can Be Given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229"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Edric Guo</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75 Rockefeller Plaza, Suite 25A, New York, NY, 10019</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yguo@univest.us</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7" w:name="page38"/>
    <w:bookmarkEnd w:id="37"/>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Provides Business Progress on AI Interactive Novel Platform - Fato Now Available on Apple App Store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YORK, April 29, 2026 (GLOBE NEWSWIRE) -- GD Culture Group Limited (“GDC” or the “Company”) (Nasdaq: GDC), together with its subsidiary, AI Catalysis Corp. (“AI Catalysis”), today provided an update on its AI interactive novel platform initiative. Since announcing the platform concept and inviting global creators to join its founding community in August 2025, the Company has made meaningful advances in both product development and community building. As a key milestone, the Company’s AI interactive novel app, Fato: Interactive Novel (“Fato”), is now publicly available for download on the Apple App Store for iPhone and iPad users worldwide.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Fato enables readers to move beyond passive consumption by shaping narratives through their own choices, engaging in immersive, chat-like conversations with characters, and personalizing story worlds by adjusting backgrounds, settings, and plotlines. It is a choice-driven interactive mystery where every decision shapes the storyline and determines each character’s fate, delivering a dark, suspenseful narrative experience built around reader agency.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app’s core design centers on branching story paths shaped by the reader’s own decisions, with multiple outcomes and story routes emerging from each choice made. The narrative is crafted to immerse players in a world full of secrets and moral dilemmas, where no two playthroughs are alike. The experience is further elevated by a fully realized visual novel format, and players can save and continue their progress at any time, making it accessible for both extended sessions and quick moments of engagement.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Fato is now available for free download on the Apple App Store for iPhone and iPad. Users can access the app at: https://apps.apple.com/ca/app/fato-interactive-novel/id6761399590.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Xiaojian Wang, Chairman and Chief Executive Officer of the Company, commented, “The launch of Fato on the Apple App Store is a proud and defining moment for GDC and AI Catalysis. We are committed to bringing our AI immersive reading platform to life, and today that vision becomes reality. Fato represents the convergence of AI technology and the art of storytelling. We are excited to place this experience in the hands of readers worldwide and to continue building a vibrant community of creators who share our vision for the future of interactive narrative.”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GD Culture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GD Culture Group Limited (the “Company”) (Nasdaq: GDC) is a Nevada company currently conducting business mainly through its subsidiaries, AI Catalysis Corp. (“AI Catalysis”). The Company is currently undergoing a strategic transition toward leveraging its artificial intelligence and virtual content generation technologies to enter the interactive reading and narrative entertainment market. The Company’s main businesses include AI-driven digital human technology. For more information, please visit the Company's website at https://www.gdculturegroup.com/.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For additional risks and uncertainties that could impact GDC’s forward-looking statements, please see disclosures contained in GDC’s public filings with the SEC, including the "Risk Factors" in GDC’s Annual Report on Form 10-K filed with the SEC on March 27, 2026 and subsequent Quarterly Reports on Form 10-Q that the Company has filed with the SEC on April 10, 2026, or may file with the SEC, which may be viewed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ir@gdculturegroup.com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investors@ascent-ir.com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decimal"/>
      <w:start w:val="104"/>
    </w:lvl>
  </w:abstractNum>
  <w:abstractNum w:abstractNumId="2">
    <w:nsid w:val="7C3DBD3D"/>
    <w:multiLevelType w:val="hybridMultilevel"/>
    <w:lvl w:ilvl="0">
      <w:lvlJc w:val="left"/>
      <w:lvlText w:val="(%1)"/>
      <w:numFmt w:val="lowerRoman"/>
      <w:start w:val="4"/>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Roman"/>
      <w:start w:val="1"/>
    </w:lvl>
  </w:abstractNum>
  <w:abstractNum w:abstractNumId="6">
    <w:nsid w:val="4516DDE9"/>
    <w:multiLevelType w:val="hybridMultilevel"/>
    <w:lvl w:ilvl="0">
      <w:lvlJc w:val="left"/>
      <w:lvlText w:val="(%1)"/>
      <w:numFmt w:val="lowerRoman"/>
      <w:start w:val="2"/>
    </w:lvl>
  </w:abstractNum>
  <w:abstractNum w:abstractNumId="7">
    <w:nsid w:val="3006C83E"/>
    <w:multiLevelType w:val="hybridMultilevel"/>
    <w:lvl w:ilvl="0">
      <w:lvlJc w:val="left"/>
      <w:lvlText w:val="(%1)"/>
      <w:numFmt w:val="upperLetter"/>
      <w:start w:val="2"/>
    </w:lvl>
  </w:abstractNum>
  <w:abstractNum w:abstractNumId="8">
    <w:nsid w:val="614FD4A1"/>
    <w:multiLevelType w:val="hybridMultilevel"/>
    <w:lvl w:ilvl="0">
      <w:lvlJc w:val="left"/>
      <w:lvlText w:val="(%1)"/>
      <w:numFmt w:val="lowerRoman"/>
      <w:start w:val="3"/>
    </w:lvl>
  </w:abstractNum>
  <w:abstractNum w:abstractNumId="9">
    <w:nsid w:val="419AC241"/>
    <w:multiLevelType w:val="hybridMultilevel"/>
    <w:lvl w:ilvl="0">
      <w:lvlJc w:val="left"/>
      <w:lvlText w:val="(%1)"/>
      <w:numFmt w:val="lowerRoman"/>
      <w:start w:val="6"/>
    </w:lvl>
  </w:abstractNum>
  <w:abstractNum w:abstractNumId="10">
    <w:nsid w:val="5577F8E1"/>
    <w:multiLevelType w:val="hybridMultilevel"/>
    <w:lvl w:ilvl="0">
      <w:lvlJc w:val="left"/>
      <w:lvlText w:val="(%1)"/>
      <w:numFmt w:val="lowerRoman"/>
      <w:start w:val="11"/>
    </w:lvl>
  </w:abstractNum>
  <w:abstractNum w:abstractNumId="11">
    <w:nsid w:val="440BADFC"/>
    <w:multiLevelType w:val="hybridMultilevel"/>
    <w:lvl w:ilvl="0">
      <w:lvlJc w:val="left"/>
      <w:lvlText w:val="(%1)"/>
      <w:numFmt w:val="lowerRoman"/>
      <w:start w:val="14"/>
    </w:lvl>
  </w:abstractNum>
  <w:abstractNum w:abstractNumId="12">
    <w:nsid w:val="5072367"/>
    <w:multiLevelType w:val="hybridMultilevel"/>
    <w:lvl w:ilvl="0">
      <w:lvlJc w:val="left"/>
      <w:lvlText w:val="%1"/>
      <w:numFmt w:val="upperLetter"/>
      <w:start w:val="1"/>
    </w:lvl>
    <w:lvl w:ilvl="1">
      <w:lvlJc w:val="left"/>
      <w:lvlText w:val="(%2)"/>
      <w:numFmt w:val="lowerRoman"/>
      <w:start w:val="17"/>
    </w:lvl>
  </w:abstractNum>
  <w:abstractNum w:abstractNumId="13">
    <w:nsid w:val="3804823E"/>
    <w:multiLevelType w:val="hybridMultilevel"/>
    <w:lvl w:ilvl="0">
      <w:lvlJc w:val="left"/>
      <w:lvlText w:val="(%1)"/>
      <w:numFmt w:val="upperLetter"/>
      <w:start w:val="4"/>
    </w:lvl>
    <w:lvl w:ilvl="1">
      <w:lvlJc w:val="left"/>
      <w:lvlText w:val="(%2)"/>
      <w:numFmt w:val="lowerRoman"/>
      <w:start w:val="21"/>
    </w:lvl>
  </w:abstractNum>
  <w:abstractNum w:abstractNumId="14">
    <w:nsid w:val="77465F01"/>
    <w:multiLevelType w:val="hybridMultilevel"/>
    <w:lvl w:ilvl="0">
      <w:lvlJc w:val="left"/>
      <w:lvlText w:val="(%1)"/>
      <w:numFmt w:val="lowerRoman"/>
      <w:start w:val="22"/>
    </w:lvl>
  </w:abstractNum>
  <w:abstractNum w:abstractNumId="15">
    <w:nsid w:val="7724C67E"/>
    <w:multiLevelType w:val="hybridMultilevel"/>
    <w:lvl w:ilvl="0">
      <w:lvlJc w:val="left"/>
      <w:lvlText w:val="(%1)"/>
      <w:numFmt w:val="lowerRoman"/>
      <w:start w:val="27"/>
    </w:lvl>
  </w:abstractNum>
  <w:abstractNum w:abstractNumId="16">
    <w:nsid w:val="5C482A97"/>
    <w:multiLevelType w:val="hybridMultilevel"/>
    <w:lvl w:ilvl="0">
      <w:lvlJc w:val="left"/>
      <w:lvlText w:val="(%1)"/>
      <w:numFmt w:val="lowerRoman"/>
      <w:start w:val="32"/>
    </w:lvl>
  </w:abstractNum>
  <w:abstractNum w:abstractNumId="17">
    <w:nsid w:val="2463B9EA"/>
    <w:multiLevelType w:val="hybridMultilevel"/>
    <w:lvl w:ilvl="0">
      <w:lvlJc w:val="left"/>
      <w:lvlText w:val="(%1)"/>
      <w:numFmt w:val="lowerRoman"/>
      <w:start w:val="38"/>
    </w:lvl>
  </w:abstractNum>
  <w:abstractNum w:abstractNumId="18">
    <w:nsid w:val="5E884ADC"/>
    <w:multiLevelType w:val="hybridMultilevel"/>
    <w:lvl w:ilvl="0">
      <w:lvlJc w:val="left"/>
      <w:lvlText w:val="(%1)"/>
      <w:numFmt w:val="lowerLetter"/>
      <w:start w:val="35"/>
    </w:lvl>
    <w:lvl w:ilvl="1">
      <w:lvlJc w:val="left"/>
      <w:lvlText w:val="(%2)"/>
      <w:numFmt w:val="lowerLetter"/>
      <w:start w:val="2"/>
    </w:lvl>
  </w:abstractNum>
  <w:abstractNum w:abstractNumId="19">
    <w:nsid w:val="51EAD36B"/>
    <w:multiLevelType w:val="hybridMultilevel"/>
    <w:lvl w:ilvl="0">
      <w:lvlJc w:val="left"/>
      <w:lvlText w:val="%1."/>
      <w:numFmt w:val="decimal"/>
      <w:start w:val="2"/>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lowerRoman"/>
      <w:start w:val="1"/>
    </w:lvl>
  </w:abstractNum>
  <w:abstractNum w:abstractNumId="22">
    <w:nsid w:val="153EA438"/>
    <w:multiLevelType w:val="hybridMultilevel"/>
    <w:lvl w:ilvl="0">
      <w:lvlJc w:val="left"/>
      <w:lvlText w:val="(%1)"/>
      <w:numFmt w:val="lowerRoman"/>
      <w:start w:val="2"/>
    </w:lvl>
  </w:abstractNum>
  <w:abstractNum w:abstractNumId="23">
    <w:nsid w:val="3855585C"/>
    <w:multiLevelType w:val="hybridMultilevel"/>
    <w:lvl w:ilvl="0">
      <w:lvlJc w:val="left"/>
      <w:lvlText w:val="(%1)"/>
      <w:numFmt w:val="lowerRoman"/>
      <w:start w:val="7"/>
    </w:lvl>
  </w:abstractNum>
  <w:abstractNum w:abstractNumId="24">
    <w:nsid w:val="70A64E2A"/>
    <w:multiLevelType w:val="hybridMultilevel"/>
    <w:lvl w:ilvl="0">
      <w:lvlJc w:val="left"/>
      <w:lvlText w:val="(%1)"/>
      <w:numFmt w:val="lowerLetter"/>
      <w:start w:val="2"/>
    </w:lvl>
  </w:abstractNum>
  <w:abstractNum w:abstractNumId="25">
    <w:nsid w:val="6A2342EC"/>
    <w:multiLevelType w:val="hybridMultilevel"/>
    <w:lvl w:ilvl="0">
      <w:lvlJc w:val="left"/>
      <w:lvlText w:val="%1."/>
      <w:numFmt w:val="decimal"/>
      <w:start w:val="3"/>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Roman"/>
      <w:start w:val="2"/>
    </w:lvl>
  </w:abstractNum>
  <w:abstractNum w:abstractNumId="28">
    <w:nsid w:val="725A06FB"/>
    <w:multiLevelType w:val="hybridMultilevel"/>
    <w:lvl w:ilvl="0">
      <w:lvlJc w:val="left"/>
      <w:lvlText w:val="(%1)"/>
      <w:numFmt w:val="lowerRoman"/>
      <w:start w:val="3"/>
    </w:lvl>
  </w:abstractNum>
  <w:abstractNum w:abstractNumId="29">
    <w:nsid w:val="2CD89A32"/>
    <w:multiLevelType w:val="hybridMultilevel"/>
    <w:lvl w:ilvl="0">
      <w:lvlJc w:val="left"/>
      <w:lvlText w:val="%1"/>
      <w:numFmt w:val="lowerRoman"/>
      <w:start w:val="1"/>
    </w:lvl>
    <w:lvl w:ilvl="1">
      <w:lvlJc w:val="left"/>
      <w:lvlText w:val="(%2)"/>
      <w:numFmt w:val="lowerLetter"/>
      <w:start w:val="4"/>
    </w:lvl>
  </w:abstractNum>
  <w:abstractNum w:abstractNumId="30">
    <w:nsid w:val="57E4CCAF"/>
    <w:multiLevelType w:val="hybridMultilevel"/>
    <w:lvl w:ilvl="0">
      <w:lvlJc w:val="left"/>
      <w:lvlText w:val="(%1)"/>
      <w:numFmt w:val="lowerRoman"/>
      <w:start w:val="6"/>
    </w:lvl>
    <w:lvl w:ilvl="1">
      <w:lvlJc w:val="left"/>
      <w:lvlText w:val="(%2)"/>
      <w:numFmt w:val="lowerLetter"/>
      <w:start w:val="8"/>
    </w:lvl>
  </w:abstractNum>
  <w:abstractNum w:abstractNumId="31">
    <w:nsid w:val="7A6D8D3C"/>
    <w:multiLevelType w:val="hybridMultilevel"/>
    <w:lvl w:ilvl="0">
      <w:lvlJc w:val="left"/>
      <w:lvlText w:val="(%1)"/>
      <w:numFmt w:val="lowerLetter"/>
      <w:start w:val="9"/>
    </w:lvl>
  </w:abstractNum>
  <w:abstractNum w:abstractNumId="32">
    <w:nsid w:val="4B588F54"/>
    <w:multiLevelType w:val="hybridMultilevel"/>
    <w:lvl w:ilvl="0">
      <w:lvlJc w:val="left"/>
      <w:lvlText w:val="%1"/>
      <w:numFmt w:val="upperLetter"/>
      <w:start w:val="1"/>
    </w:lvl>
    <w:lvl w:ilvl="1">
      <w:lvlJc w:val="left"/>
      <w:lvlText w:val="(%2)"/>
      <w:numFmt w:val="lowerLetter"/>
      <w:start w:val="16"/>
    </w:lvl>
  </w:abstractNum>
  <w:abstractNum w:abstractNumId="33">
    <w:nsid w:val="542289EC"/>
    <w:multiLevelType w:val="hybridMultilevel"/>
    <w:lvl w:ilvl="0">
      <w:lvlJc w:val="left"/>
      <w:lvlText w:val="(%1)"/>
      <w:numFmt w:val="upperLetter"/>
      <w:start w:val="2"/>
    </w:lvl>
    <w:lvl w:ilvl="1">
      <w:lvlJc w:val="left"/>
      <w:lvlText w:val="(%2)"/>
      <w:numFmt w:val="lowerLetter"/>
      <w:start w:val="18"/>
    </w:lvl>
  </w:abstractNum>
  <w:abstractNum w:abstractNumId="34">
    <w:nsid w:val="6DE91B18"/>
    <w:multiLevelType w:val="hybridMultilevel"/>
    <w:lvl w:ilvl="0">
      <w:lvlJc w:val="left"/>
      <w:lvlText w:val="(%1)"/>
      <w:numFmt w:val="lowerRoman"/>
      <w:start w:val="1"/>
    </w:lvl>
  </w:abstractNum>
  <w:abstractNum w:abstractNumId="35">
    <w:nsid w:val="38437FDB"/>
    <w:multiLevelType w:val="hybridMultilevel"/>
    <w:lvl w:ilvl="0">
      <w:lvlJc w:val="left"/>
      <w:lvlText w:val="(%1)"/>
      <w:numFmt w:val="lowerRoman"/>
      <w:start w:val="3"/>
    </w:lvl>
  </w:abstractNum>
  <w:abstractNum w:abstractNumId="36">
    <w:nsid w:val="7644A45C"/>
    <w:multiLevelType w:val="hybridMultilevel"/>
    <w:lvl w:ilvl="0">
      <w:lvlJc w:val="left"/>
      <w:lvlText w:val="(%1)"/>
      <w:numFmt w:val="lowerLetter"/>
      <w:start w:val="19"/>
    </w:lvl>
  </w:abstractNum>
  <w:abstractNum w:abstractNumId="37">
    <w:nsid w:val="32FFF902"/>
    <w:multiLevelType w:val="hybridMultilevel"/>
    <w:lvl w:ilvl="0">
      <w:lvlJc w:val="left"/>
      <w:lvlText w:val="(%1)"/>
      <w:numFmt w:val="lowerLetter"/>
      <w:start w:val="24"/>
    </w:lvl>
  </w:abstractNum>
  <w:abstractNum w:abstractNumId="38">
    <w:nsid w:val="684A481A"/>
    <w:multiLevelType w:val="hybridMultilevel"/>
    <w:lvl w:ilvl="0">
      <w:lvlJc w:val="left"/>
      <w:lvlText w:val="(%1)"/>
      <w:numFmt w:val="lowerLetter"/>
      <w:start w:val="27"/>
    </w:lvl>
  </w:abstractNum>
  <w:abstractNum w:abstractNumId="39">
    <w:nsid w:val="579478FE"/>
    <w:multiLevelType w:val="hybridMultilevel"/>
    <w:lvl w:ilvl="0">
      <w:lvlJc w:val="left"/>
      <w:lvlText w:val="%1."/>
      <w:numFmt w:val="decimal"/>
      <w:start w:val="4"/>
    </w:lvl>
  </w:abstractNum>
  <w:abstractNum w:abstractNumId="40">
    <w:nsid w:val="749ABB43"/>
    <w:multiLevelType w:val="hybridMultilevel"/>
    <w:lvl w:ilvl="0">
      <w:lvlJc w:val="left"/>
      <w:lvlText w:val="%1"/>
      <w:numFmt w:val="lowerLetter"/>
      <w:start w:val="1"/>
    </w:lvl>
    <w:lvl w:ilvl="1">
      <w:lvlJc w:val="left"/>
      <w:lvlText w:val="(%2)"/>
      <w:numFmt w:val="lowerLetter"/>
      <w:start w:val="1"/>
    </w:lvl>
  </w:abstractNum>
  <w:abstractNum w:abstractNumId="41">
    <w:nsid w:val="3DC240FB"/>
    <w:multiLevelType w:val="hybridMultilevel"/>
    <w:lvl w:ilvl="0">
      <w:lvlJc w:val="left"/>
      <w:lvlText w:val="(%1)"/>
      <w:numFmt w:val="lowerLetter"/>
      <w:start w:val="9"/>
    </w:lvl>
    <w:lvl w:ilvl="1">
      <w:lvlJc w:val="left"/>
      <w:lvlText w:val="(%2)"/>
      <w:numFmt w:val="lowerLetter"/>
      <w:start w:val="3"/>
    </w:lvl>
  </w:abstractNum>
  <w:abstractNum w:abstractNumId="42">
    <w:nsid w:val="1BA026FA"/>
    <w:multiLevelType w:val="hybridMultilevel"/>
    <w:lvl w:ilvl="0">
      <w:lvlJc w:val="left"/>
      <w:lvlText w:val="%1."/>
      <w:numFmt w:val="decimal"/>
      <w:start w:val="5"/>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Roman"/>
      <w:start w:val="2"/>
    </w:lvl>
  </w:abstractNum>
  <w:abstractNum w:abstractNumId="45">
    <w:nsid w:val="12E685FB"/>
    <w:multiLevelType w:val="hybridMultilevel"/>
    <w:lvl w:ilvl="0">
      <w:lvlJc w:val="left"/>
      <w:lvlText w:val="(%1)"/>
      <w:numFmt w:val="lowerRoman"/>
      <w:start w:val="4"/>
    </w:lvl>
  </w:abstractNum>
  <w:abstractNum w:abstractNumId="46">
    <w:nsid w:val="70C6A529"/>
    <w:multiLevelType w:val="hybridMultilevel"/>
    <w:lvl w:ilvl="0">
      <w:lvlJc w:val="left"/>
      <w:lvlText w:val="(%1)"/>
      <w:numFmt w:val="lowerLetter"/>
      <w:start w:val="2"/>
    </w:lvl>
  </w:abstractNum>
  <w:abstractNum w:abstractNumId="47">
    <w:nsid w:val="520EEDD1"/>
    <w:multiLevelType w:val="hybridMultilevel"/>
    <w:lvl w:ilvl="0">
      <w:lvlJc w:val="left"/>
      <w:lvlText w:val="(%1)"/>
      <w:numFmt w:val="lowerRoman"/>
      <w:start w:val="2"/>
    </w:lvl>
  </w:abstractNum>
  <w:abstractNum w:abstractNumId="48">
    <w:nsid w:val="374A3FE6"/>
    <w:multiLevelType w:val="hybridMultilevel"/>
    <w:lvl w:ilvl="0">
      <w:lvlJc w:val="left"/>
      <w:lvlText w:val="%1"/>
      <w:numFmt w:val="lowerLetter"/>
      <w:start w:val="1"/>
    </w:lvl>
    <w:lvl w:ilvl="1">
      <w:lvlJc w:val="left"/>
      <w:lvlText w:val="(%2)"/>
      <w:numFmt w:val="lowerLetter"/>
      <w:start w:val="3"/>
    </w:lvl>
  </w:abstractNum>
  <w:abstractNum w:abstractNumId="49">
    <w:nsid w:val="4F4EF005"/>
    <w:multiLevelType w:val="hybridMultilevel"/>
    <w:lvl w:ilvl="0">
      <w:lvlJc w:val="left"/>
      <w:lvlText w:val="(%1)"/>
      <w:numFmt w:val="lowerLetter"/>
      <w:start w:val="2"/>
    </w:lvl>
    <w:lvl w:ilvl="1">
      <w:lvlJc w:val="left"/>
      <w:lvlText w:val="%2"/>
      <w:numFmt w:val="lowerLetter"/>
      <w:start w:val="1"/>
    </w:lvl>
  </w:abstractNum>
  <w:abstractNum w:abstractNumId="50">
    <w:nsid w:val="23F9C13C"/>
    <w:multiLevelType w:val="hybridMultilevel"/>
    <w:lvl w:ilvl="0">
      <w:lvlJc w:val="left"/>
      <w:lvlText w:val="(%1)"/>
      <w:numFmt w:val="lowerLetter"/>
      <w:start w:val="4"/>
    </w:lvl>
  </w:abstractNum>
  <w:abstractNum w:abstractNumId="51">
    <w:nsid w:val="649BB77C"/>
    <w:multiLevelType w:val="hybridMultilevel"/>
    <w:lvl w:ilvl="0">
      <w:lvlJc w:val="left"/>
      <w:lvlText w:val="%1."/>
      <w:numFmt w:val="decimal"/>
      <w:start w:val="6"/>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decimal"/>
      <w:start w:val="8"/>
    </w:lvl>
  </w:abstractNum>
  <w:abstractNum w:abstractNumId="54">
    <w:nsid w:val="1CF10FD8"/>
    <w:multiLevelType w:val="hybridMultilevel"/>
    <w:lvl w:ilvl="0">
      <w:lvlJc w:val="left"/>
      <w:lvlText w:val="%1"/>
      <w:numFmt w:val="lowerLetter"/>
      <w:start w:val="1"/>
    </w:lvl>
    <w:lvl w:ilvl="1">
      <w:lvlJc w:val="left"/>
      <w:lvlText w:val="%2."/>
      <w:numFmt w:val="decimal"/>
      <w:start w:val="9"/>
    </w:lvl>
  </w:abstractNum>
  <w:abstractNum w:abstractNumId="55">
    <w:nsid w:val="180115BE"/>
    <w:multiLevelType w:val="hybridMultilevel"/>
    <w:lvl w:ilvl="0">
      <w:lvlJc w:val="left"/>
      <w:lvlText w:val="(%1)"/>
      <w:numFmt w:val="lowerLetter"/>
      <w:start w:val="4"/>
    </w:lvl>
    <w:lvl w:ilvl="1">
      <w:lvlJc w:val="left"/>
      <w:lvlText w:val="%2."/>
      <w:numFmt w:val="decimal"/>
      <w:start w:val="12"/>
    </w:lvl>
  </w:abstractNum>
  <w:abstractNum w:abstractNumId="56">
    <w:nsid w:val="235BA861"/>
    <w:multiLevelType w:val="hybridMultilevel"/>
    <w:lvl w:ilvl="0">
      <w:lvlJc w:val="left"/>
      <w:lvlText w:val="%1."/>
      <w:numFmt w:val="decimal"/>
      <w:start w:val="14"/>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2026-04-29T15:25:42Z</dcterms:created>
  <dcterms:modified xsi:type="dcterms:W3CDTF">2026-04-29T15:25:42Z</dcterms:modified>
</cp:coreProperties>
</file>