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940" w:type="dxa"/>
            <w:vAlign w:val="bottom"/>
          </w:tcPr>
          <w:p>
            <w:pPr>
              <w:spacing w:after="0"/>
              <w:rPr>
                <w:sz w:val="20"/>
                <w:szCs w:val="20"/>
                <w:color w:val="auto"/>
              </w:rPr>
            </w:pPr>
          </w:p>
        </w:tc>
      </w:tr>
      <w:tr>
        <w:trPr>
          <w:trHeight w:val="432"/>
        </w:trPr>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940" w:type="dxa"/>
            <w:vAlign w:val="bottom"/>
          </w:tcPr>
          <w:p>
            <w:pPr>
              <w:spacing w:after="0"/>
              <w:rPr>
                <w:sz w:val="24"/>
                <w:szCs w:val="24"/>
                <w:color w:val="auto"/>
              </w:rPr>
            </w:pPr>
          </w:p>
        </w:tc>
      </w:tr>
      <w:tr>
        <w:trPr>
          <w:trHeight w:val="410"/>
        </w:trPr>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2940" w:type="dxa"/>
            <w:vAlign w:val="bottom"/>
          </w:tcPr>
          <w:p>
            <w:pPr>
              <w:spacing w:after="0"/>
              <w:rPr>
                <w:sz w:val="24"/>
                <w:szCs w:val="24"/>
                <w:color w:val="auto"/>
              </w:rPr>
            </w:pPr>
          </w:p>
        </w:tc>
      </w:tr>
      <w:tr>
        <w:trPr>
          <w:trHeight w:val="238"/>
        </w:trPr>
        <w:tc>
          <w:tcPr>
            <w:tcW w:w="3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940" w:type="dxa"/>
            <w:vAlign w:val="bottom"/>
          </w:tcPr>
          <w:p>
            <w:pPr>
              <w:spacing w:after="0"/>
              <w:rPr>
                <w:sz w:val="20"/>
                <w:szCs w:val="20"/>
                <w:color w:val="auto"/>
              </w:rPr>
            </w:pPr>
          </w:p>
        </w:tc>
      </w:tr>
      <w:tr>
        <w:trPr>
          <w:trHeight w:val="432"/>
        </w:trPr>
        <w:tc>
          <w:tcPr>
            <w:tcW w:w="3180" w:type="dxa"/>
            <w:vAlign w:val="bottom"/>
          </w:tcPr>
          <w:p>
            <w:pPr>
              <w:spacing w:after="0"/>
              <w:rPr>
                <w:sz w:val="24"/>
                <w:szCs w:val="24"/>
                <w:color w:val="auto"/>
              </w:rPr>
            </w:pPr>
          </w:p>
        </w:tc>
        <w:tc>
          <w:tcPr>
            <w:tcW w:w="51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June 22, 2026</w:t>
            </w:r>
          </w:p>
        </w:tc>
        <w:tc>
          <w:tcPr>
            <w:tcW w:w="2940" w:type="dxa"/>
            <w:vAlign w:val="bottom"/>
          </w:tcPr>
          <w:p>
            <w:pPr>
              <w:spacing w:after="0"/>
              <w:rPr>
                <w:sz w:val="24"/>
                <w:szCs w:val="24"/>
                <w:color w:val="auto"/>
              </w:rPr>
            </w:pPr>
          </w:p>
        </w:tc>
      </w:tr>
      <w:tr>
        <w:trPr>
          <w:trHeight w:val="410"/>
        </w:trPr>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GD Culture Group Limited</w:t>
            </w:r>
          </w:p>
        </w:tc>
        <w:tc>
          <w:tcPr>
            <w:tcW w:w="2940" w:type="dxa"/>
            <w:vAlign w:val="bottom"/>
          </w:tcPr>
          <w:p>
            <w:pPr>
              <w:spacing w:after="0"/>
              <w:rPr>
                <w:sz w:val="24"/>
                <w:szCs w:val="24"/>
                <w:color w:val="auto"/>
              </w:rPr>
            </w:pPr>
          </w:p>
        </w:tc>
      </w:tr>
      <w:tr>
        <w:trPr>
          <w:trHeight w:val="238"/>
        </w:trPr>
        <w:tc>
          <w:tcPr>
            <w:tcW w:w="3180" w:type="dxa"/>
            <w:vAlign w:val="bottom"/>
          </w:tcPr>
          <w:p>
            <w:pPr>
              <w:spacing w:after="0"/>
              <w:rPr>
                <w:sz w:val="20"/>
                <w:szCs w:val="20"/>
                <w:color w:val="auto"/>
              </w:rPr>
            </w:pPr>
          </w:p>
        </w:tc>
        <w:tc>
          <w:tcPr>
            <w:tcW w:w="51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(Exact name of Company as specified in charter)</w:t>
            </w:r>
          </w:p>
        </w:tc>
        <w:tc>
          <w:tcPr>
            <w:tcW w:w="2940" w:type="dxa"/>
            <w:vAlign w:val="bottom"/>
          </w:tcPr>
          <w:p>
            <w:pPr>
              <w:spacing w:after="0"/>
              <w:rPr>
                <w:sz w:val="20"/>
                <w:szCs w:val="20"/>
                <w:color w:val="auto"/>
              </w:rPr>
            </w:pPr>
          </w:p>
        </w:tc>
      </w:tr>
      <w:tr>
        <w:trPr>
          <w:trHeight w:val="439"/>
        </w:trPr>
        <w:tc>
          <w:tcPr>
            <w:tcW w:w="31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6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001-37513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47-3709051</w:t>
            </w:r>
          </w:p>
        </w:tc>
      </w:tr>
      <w:tr>
        <w:trPr>
          <w:trHeight w:val="194"/>
        </w:trPr>
        <w:tc>
          <w:tcPr>
            <w:tcW w:w="3180" w:type="dxa"/>
            <w:vAlign w:val="bottom"/>
            <w:tcBorders>
              <w:top w:val="single" w:sz="8" w:color="auto"/>
            </w:tcBorders>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No.)</w:t>
            </w: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center"/>
              <w:ind w:righ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4"/>
        </w:trPr>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8"/>
              </w:rPr>
              <w:t>111 Town Square Place, Suite #1203</w:t>
            </w:r>
          </w:p>
        </w:tc>
        <w:tc>
          <w:tcPr>
            <w:tcW w:w="2940" w:type="dxa"/>
            <w:vAlign w:val="bottom"/>
          </w:tcPr>
          <w:p>
            <w:pPr>
              <w:spacing w:after="0"/>
              <w:rPr>
                <w:sz w:val="24"/>
                <w:szCs w:val="24"/>
                <w:color w:val="auto"/>
              </w:rPr>
            </w:pPr>
          </w:p>
        </w:tc>
      </w:tr>
      <w:tr>
        <w:trPr>
          <w:trHeight w:val="212"/>
        </w:trPr>
        <w:tc>
          <w:tcPr>
            <w:tcW w:w="3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Jersey City, NJ 07310</w:t>
            </w:r>
          </w:p>
        </w:tc>
        <w:tc>
          <w:tcPr>
            <w:tcW w:w="2940" w:type="dxa"/>
            <w:vAlign w:val="bottom"/>
          </w:tcPr>
          <w:p>
            <w:pPr>
              <w:spacing w:after="0"/>
              <w:rPr>
                <w:sz w:val="18"/>
                <w:szCs w:val="18"/>
                <w:color w:val="auto"/>
              </w:rPr>
            </w:pPr>
          </w:p>
        </w:tc>
      </w:tr>
      <w:tr>
        <w:trPr>
          <w:trHeight w:val="238"/>
        </w:trPr>
        <w:tc>
          <w:tcPr>
            <w:tcW w:w="3180" w:type="dxa"/>
            <w:vAlign w:val="bottom"/>
          </w:tcPr>
          <w:p>
            <w:pPr>
              <w:spacing w:after="0"/>
              <w:rPr>
                <w:sz w:val="20"/>
                <w:szCs w:val="20"/>
                <w:color w:val="auto"/>
              </w:rPr>
            </w:pPr>
          </w:p>
        </w:tc>
        <w:tc>
          <w:tcPr>
            <w:tcW w:w="51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940" w:type="dxa"/>
            <w:vAlign w:val="bottom"/>
          </w:tcPr>
          <w:p>
            <w:pPr>
              <w:spacing w:after="0"/>
              <w:rPr>
                <w:sz w:val="20"/>
                <w:szCs w:val="20"/>
                <w:color w:val="auto"/>
              </w:rPr>
            </w:pPr>
          </w:p>
        </w:tc>
      </w:tr>
      <w:tr>
        <w:trPr>
          <w:trHeight w:val="410"/>
        </w:trPr>
        <w:tc>
          <w:tcPr>
            <w:tcW w:w="3180" w:type="dxa"/>
            <w:vAlign w:val="bottom"/>
          </w:tcPr>
          <w:p>
            <w:pPr>
              <w:spacing w:after="0"/>
              <w:rPr>
                <w:sz w:val="24"/>
                <w:szCs w:val="24"/>
                <w:color w:val="auto"/>
              </w:rPr>
            </w:pPr>
          </w:p>
        </w:tc>
        <w:tc>
          <w:tcPr>
            <w:tcW w:w="43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rPr>
              <w:t>+1-347- 2590292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8"/>
        </w:trPr>
        <w:tc>
          <w:tcPr>
            <w:tcW w:w="3180" w:type="dxa"/>
            <w:vAlign w:val="bottom"/>
          </w:tcPr>
          <w:p>
            <w:pPr>
              <w:spacing w:after="0"/>
              <w:rPr>
                <w:sz w:val="20"/>
                <w:szCs w:val="20"/>
                <w:color w:val="auto"/>
              </w:rPr>
            </w:pPr>
          </w:p>
        </w:tc>
        <w:tc>
          <w:tcPr>
            <w:tcW w:w="51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(Company’s Telephone number, including area code)</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Company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0" w:type="dxa"/>
            <w:vAlign w:val="bottom"/>
            <w:tcBorders>
              <w:bottom w:val="single" w:sz="8" w:color="CCEDFF"/>
            </w:tcBorders>
          </w:tcPr>
          <w:p>
            <w:pPr>
              <w:spacing w:after="0"/>
              <w:rPr>
                <w:sz w:val="21"/>
                <w:szCs w:val="21"/>
                <w:color w:val="auto"/>
              </w:rPr>
            </w:pPr>
          </w:p>
        </w:tc>
        <w:tc>
          <w:tcPr>
            <w:tcW w:w="80" w:type="dxa"/>
            <w:vAlign w:val="bottom"/>
            <w:tcBorders>
              <w:bottom w:val="single" w:sz="8" w:color="CCEDFF"/>
            </w:tcBorders>
          </w:tcPr>
          <w:p>
            <w:pPr>
              <w:spacing w:after="0"/>
              <w:rPr>
                <w:sz w:val="21"/>
                <w:szCs w:val="21"/>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Borders>
              <w:bottom w:val="single" w:sz="8" w:color="CCEDFF"/>
            </w:tcBorders>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0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60" w:type="dxa"/>
            <w:vAlign w:val="bottom"/>
            <w:shd w:val="clear" w:color="auto" w:fill="CCEDFF"/>
          </w:tcPr>
          <w:p>
            <w:pPr>
              <w:spacing w:after="0"/>
              <w:rPr>
                <w:sz w:val="18"/>
                <w:szCs w:val="18"/>
                <w:color w:val="auto"/>
              </w:rPr>
            </w:pPr>
          </w:p>
        </w:tc>
        <w:tc>
          <w:tcPr>
            <w:tcW w:w="80" w:type="dxa"/>
            <w:vAlign w:val="bottom"/>
            <w:shd w:val="clear" w:color="auto" w:fill="CCEDFF"/>
          </w:tcPr>
          <w:p>
            <w:pPr>
              <w:spacing w:after="0"/>
              <w:rPr>
                <w:sz w:val="18"/>
                <w:szCs w:val="18"/>
                <w:color w:val="auto"/>
              </w:rPr>
            </w:pPr>
          </w:p>
        </w:tc>
        <w:tc>
          <w:tcPr>
            <w:tcW w:w="35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GDC</w:t>
            </w:r>
          </w:p>
        </w:tc>
        <w:tc>
          <w:tcPr>
            <w:tcW w:w="120" w:type="dxa"/>
            <w:vAlign w:val="bottom"/>
            <w:shd w:val="clear" w:color="auto" w:fill="CCEDFF"/>
          </w:tcPr>
          <w:p>
            <w:pPr>
              <w:spacing w:after="0"/>
              <w:rPr>
                <w:sz w:val="18"/>
                <w:szCs w:val="18"/>
                <w:color w:val="auto"/>
              </w:rPr>
            </w:pPr>
          </w:p>
        </w:tc>
        <w:tc>
          <w:tcPr>
            <w:tcW w:w="360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24, 2026, GD Culture Group Limited, a Nevada corporation (the “Company”) entered into a securities purchase agreement (the “Purchase Agreement”) with certain institutional investors named thereto (the “Purchasers”), pursuant to which the Company agreed to issue and sell, in a registered direct offering (the “Offering”) of an aggregate of 259,301,306 shares of common stock (the “Common Stock”) of the Company, par value $0.0001 per share (the “Shares”), at a purchase price of $0.021 per share.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Offering closed on June 24, 2026. The Company received approximately $5.45 million in gross proceeds from the Offering, before deducting placement agent fees and estimated offering expenses. The Company intends to use the net proceeds from the Offering for working capital and general corporate purposes.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the Company, customary conditions to closing, indemnification obligations of the Company, other obligations of the parties, and termination provisions.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Shares were offered by the Company pursuant to a registration statement on Form S-3 (File No. 333-292934) (the “Registration Statement”), initially filed with the Securities and Exchange Commission (the “Commission”) on January 26, 2026 and declared effective by the Commission on March 18, 2026, the base prospectus filed as part of the Registration Statement, and the prospectus supplement dated June 24, 2026 (the “Prospectus Supplement”).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24, 2026, the Company entered into a placement agency agreement (the “Placement Agency Agreement”) with Univest Securities, LLC (“Univest” or the “Placement Agent”), pursuant to which the Company engaged Univest as the sole placement agent in connection with the Offering. The Placement Agent agreed to use its reasonable best efforts to arrange for the sale of the Shares. In addition, under the Placement Agency Agreement the Company agreed to pay the Placement Agent a cash fee in cash equal to seven percent (7.0%) of the aggregate gross proceeds raised from the sale. The Company also agreed to reimburse the Placement Agent at closing for all reasonable travel and other out-of-pocket expenses incurred by them in connection with the Offering in an amount not to exceed $50,000.</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Placement Agency Agreement contains customary representations, warranties and agreements by the Company, customary conditions to closing, indemnification obligations of the Company and the Placement Agent, including for liabilities under the Securities Act of 1933, as amended (the “Securities Act”), other obligations of the parties and termination provisions.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summaries of the Placement Agency Agreement and the Purchase Agreement do not purport to be complete and are subject to, and qualified in their entirety by, such documents filed as Exhibits 1.1 and 10.1, respectively, hereto and incorporated by reference 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24, 2026, the Company issued a press release related to the Offering entitled “GD Culture Group Limited Announces Approximately $5.45 Million Registered Direct Offering of Common Stock Priced At-The-Market Under Nasdaq Rules”, which press release is furnished as Exhibit 99.1 to this Current Report on Form 8-K.</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24, 2026, the Company also issued a press release entitled “GD Culture Group Limited Receives Nasdaq Notification Regarding Minimum Bid Price Deficiency”, which press release is furnished as Exhibit 99.2 to this Current Report on Form 8-K.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the information in the press releases attached as Exhibit 99.1 and Exhibit 99.2 attached hereto, is being furnished and shall not be deemed “filed” for the purposes of Section 18 of the Securities Exchange Act of 1934, as amended (the “Exchange Act”), or otherwise subject to the liabilities of that section, and shall not be deemed incorporated by reference in any filing under the Securities Act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22, 2026, the Company received a letter from the Listings Qualifications Department of The Nasdaq Capital Market (“Nasdaq”) notifying the Company that the minimum closing bid price per share for its Common Stock was below $1.00 for a period of 30 consecutive business days and that the Company did not meet the minimum bid price requirement set forth in Nasdaq Listing Rule 5550(a)(2). The Nasdaq notification letter does not result in the immediate delisting of the Company’s Common Stock, and the shares will continue to trade uninterrupted under the symbol “GDC.”</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Nasdaq Listing Rule 5810(c)(3)(A), the Company has a compliance period of one hundred eighty (180) calendar days, or until December 21, 2026 (the “Compliance Period”), to regain compliance with Nasdaq’s minimum bid price requirement. If at any time during the Compliance Period, the closing bid price per share of the Company’s Common Stock is at least $1.00 for a minimum of ten (10) consecutive business days, Nasdaq will provide the Company a written confirmation of compliance and the matter will be closed.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the Company does not regain compliance by December 21, 2026, the Company may be eligible for an additional 180 calendar day grace period. To qualify, the Company will be required to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the second compliance period, including by effecting a reverse stock split, if necessary. The Company is monitoring the closing bid price of its Common Stock and may, if appropriate, consider implementing available options, including, but not limited to, implementing a reverse stock split of its outstanding Common Stock, to regain compliance with the minimum bid price requirement under the Nasdaq Listing Rules.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Report on Form 8-K of the Company is hereby incorporated by reference into the Company’s Registration Statement on Form S-3 (File No. 333-292934).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statements included in this Current Report on Form 8-K, other than statements or characterizations of historical fact, are forward-looking statements. These forward-looking statements are based on our current expectations, estimates and projections about our industry, management’s beliefs, and certain assumptions made by us, all of which are subject to change. Forward-looking statements can often be identified by words such as “anticipates,” “expects,” “intends,” “plans,” “predicts,” “believes,” “seeks,” “estimates,” “may,” “will,” “should,” “would,” “could,” “potential,” “continue,” “ongoing,” similar expressions, and variations or negatives of these words. These forward-looking statements are not guarantees of future results and are subject to factors, risks, uncertainties and assumptions that could cause our actual results to differ materially and adversely from those expressed in any forward-looking statement, including (but not limited to): the risk that the board may reject the proposal; the risk that any special committee, if formed, may determine not to pursue the proposal; the risk that the consortium may amend, modify, revise or withdraw the proposal; the risk that no definitive agreement will be executed; the risk that financing may not be obtained; the risk that required regulatory, shareholder or other approvals may not be obtained; changes in market conditions; changes in the Company’s capitalization; and other risks described in the Company’s filings with the Securities and Exchange Commission. The forward-looking statements included in this Current Report on Form 8-K speak only as of the date hereof. Additional discussions of factors affecting the Company’s business and prospects are reflected under the caption “Risk Factors” and in other sections of the Company’s Annual Report on Form 10-K for the Company’s fiscal year ended December 31, 2025, and other filings made with the SEC. The Company expressly disclaims any intent or obligation to update any forward-looking statements, whether written or oral, that may be made from time to time by or on behalf of the Company or its subsidiaries, whether as a result of new information, changed circumstances or future events, or for any other reason.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60" w:type="dxa"/>
            <w:vAlign w:val="bottom"/>
            <w:tcBorders>
              <w:top w:val="single" w:sz="8" w:color="auto"/>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Placement Agency Agreement, dated June 24, 2026, by and between the Company and Univest Securities, LLC</w:t>
            </w:r>
          </w:p>
        </w:tc>
        <w:tc>
          <w:tcPr>
            <w:tcW w:w="2040" w:type="dxa"/>
            <w:vAlign w:val="bottom"/>
            <w:tcBorders>
              <w:top w:val="single" w:sz="8" w:color="auto"/>
              <w:bottom w:val="single" w:sz="8" w:color="CCEEFF"/>
            </w:tcBorders>
            <w:gridSpan w:val="2"/>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5"/>
                <w:szCs w:val="15"/>
                <w:color w:val="auto"/>
              </w:rPr>
            </w:pPr>
          </w:p>
        </w:tc>
        <w:tc>
          <w:tcPr>
            <w:tcW w:w="101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Opinion of McLaughlin &amp; Stern, LLP</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5"/>
                <w:szCs w:val="15"/>
                <w:color w:val="auto"/>
              </w:rPr>
            </w:pP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Securities Purchase Agreement</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Consent of McLaughlin &amp; Stern, LLP (included in Exhibit 5.1)</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Press Release - GD Culture Group Limited Announces Approximately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5.45 Million Registered Direct Offering of Common Stock Priced</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At-The-Market Under Nasdaq Rules</w:t>
            </w:r>
          </w:p>
        </w:tc>
        <w:tc>
          <w:tcPr>
            <w:tcW w:w="7460" w:type="dxa"/>
            <w:vAlign w:val="bottom"/>
            <w:tcBorders>
              <w:bottom w:val="single" w:sz="8" w:color="CCEEFF"/>
            </w:tcBorders>
            <w:gridSpan w:val="6"/>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Press Release - GD Culture Group Limited Receives Nasdaq Notification Regarding Minimum Bid Price Deficiency</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2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GD Culture Group Limited</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24,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 Jian Wang</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Xiao Jian Wang</w:t>
            </w:r>
          </w:p>
        </w:tc>
      </w:tr>
      <w:tr>
        <w:trPr>
          <w:trHeight w:val="216"/>
        </w:trPr>
        <w:tc>
          <w:tcPr>
            <w:tcW w:w="3520" w:type="dxa"/>
            <w:vAlign w:val="bottom"/>
          </w:tcPr>
          <w:p>
            <w:pPr>
              <w:spacing w:after="0"/>
              <w:rPr>
                <w:sz w:val="18"/>
                <w:szCs w:val="18"/>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w:t>
            </w:r>
          </w:p>
        </w:tc>
      </w:tr>
      <w:tr>
        <w:trPr>
          <w:trHeight w:val="234"/>
        </w:trPr>
        <w:tc>
          <w:tcPr>
            <w:tcW w:w="35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4</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 w:name="page6"/>
    <w:bookmarkEnd w:id="5"/>
    <w:p>
      <w:pPr>
        <w:ind w:left="10360"/>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AGENCY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Univest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Rockefeller Plaza, Suite 25A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letter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constitutes the agreement by and between Univest Securities, LLC (“</w:t>
      </w:r>
      <w:r>
        <w:rPr>
          <w:rFonts w:ascii="Times New Roman" w:cs="Times New Roman" w:eastAsia="Times New Roman" w:hAnsi="Times New Roman"/>
          <w:sz w:val="18"/>
          <w:szCs w:val="18"/>
          <w:b w:val="1"/>
          <w:bCs w:val="1"/>
          <w:color w:val="auto"/>
        </w:rPr>
        <w:t>Univest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and GD Culture Group Limited,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which the Placement Agent shall serve as the placement agent for the Company, on a “reasonable best efforts” basis, in connection with the proposed placements (the “</w:t>
      </w:r>
      <w:r>
        <w:rPr>
          <w:rFonts w:ascii="Times New Roman" w:cs="Times New Roman" w:eastAsia="Times New Roman" w:hAnsi="Times New Roman"/>
          <w:sz w:val="18"/>
          <w:szCs w:val="18"/>
          <w:b w:val="1"/>
          <w:bCs w:val="1"/>
          <w:color w:val="auto"/>
        </w:rPr>
        <w:t>Placements</w:t>
      </w:r>
      <w:r>
        <w:rPr>
          <w:rFonts w:ascii="Times New Roman" w:cs="Times New Roman" w:eastAsia="Times New Roman" w:hAnsi="Times New Roman"/>
          <w:sz w:val="18"/>
          <w:szCs w:val="18"/>
          <w:color w:val="auto"/>
        </w:rPr>
        <w:t>”) via a registered direct offering of common stock, par value $0.0001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terms of the Placements and the Securities shall be mutually agreed upon by the Company and the purchasers (each,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and nothing herein shall be deemed to mean that the Placement Agent would have the power or authority to bind the Company or any Purchaser or an obligation for the Company to issue any Securities or complete the Placements. This Agreement and the documents executed and delivered by the Company and the Purchasers in connection with the Placements, including but not limited to the Purchase Agreement (as defined below), shall be collectively referred to herein as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The date of the closing of the Placements shall be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Company expressly acknowledges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that the obligations of the Placement Agent hereunder are on a reasonable best efforts basis only and that the execution of this Agreement does not constitute a commitment by the Placement Agent to purchase the Securities and does not ensure the successful placement of the Securities or any portion thereof or the success of the Placement Agent with respect to securing any other financing on behalf of the Company. Following the prior written consent of the Company, the Placement Agent may retain other brokers or dealers to act as sub-agents or selected-dealers on its behalf in connection with the Placements. The sale of the Securities to any Purchaser will be evidenced by a securities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between the Company and such Purchaser in a form mutually agreed upon by the Company and the Purchasers. Capitalized terms that are not otherwise defined herein have the meanings given to such terms in the Purchase Agreement. Prior to the signing of any Purchase Agreement, executive officers of the Company will be available upon reasonable notice and during normal business hours to answer inquiries from prospective Purchasers.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in the event that the Placement Agent determines that any of the terms provided for hereunder do not comply with a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 including but not limited to FINRA Rule 5110, then the Company shall agree to amend this Agreement in writing upon the request of the Placement Agent to comply with any such rules; provided that any such amendments shall not provide for terms that are less favorable to the Company than the terms of this Agreement or terms are adverse to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 with the Placement Agent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Agreement to Act as Placement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3" w:lineRule="auto"/>
        <w:tabs>
          <w:tab w:leader="none" w:pos="8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of the Company herein contained, and subject to all the terms and conditions of this Agreement, the Placement Agent shall be the exclusive placement agent in connection with the offering and sale by the Company of the Securities pursuant to the Company’s registration statement on Form S-3 (File No. 333-292934)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terms of such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to be subject to market conditions and negotiations between the Company, the Placement Agent and the prospective Purchasers. The Placement Agent will act on a best efforts basis and the Company agrees and acknowledges that there is no guarantee of the successful placement of the Securities, or any portion thereof, in the prospective Offering. Under no circumstances will the Placement Agent or any of its Affiliates (as defined below) be obligated to underwrite or purchase any of the Securities for its own account or otherwise provide any financing. The Placement Agent shall act solely as the Company’s agent and not as principal. The Placement Agent shall have no authority to bind the Company with respect to any prospective offer to purchase Securities and the Company shall have the sole right to accept offers to purchase Securities and may reject any such offer, in whole or in part. Subject to the terms and conditions hereof, payment of the purchase price for, and delivery of, the Securities shall be made at one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the date on which the Closing occurs,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As compensation for services rendered, on the Closing Date, the Company shall pay to the Placement Agent the following:</w:t>
      </w:r>
    </w:p>
    <w:p>
      <w:pPr>
        <w:spacing w:after="0" w:line="18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fee equal to seven percent (7%) of the aggregate gross proceeds received by the Company from the sale of the Securities (the “</w:t>
      </w:r>
      <w:r>
        <w:rPr>
          <w:rFonts w:ascii="Times New Roman" w:cs="Times New Roman" w:eastAsia="Times New Roman" w:hAnsi="Times New Roman"/>
          <w:sz w:val="18"/>
          <w:szCs w:val="18"/>
          <w:b w:val="1"/>
          <w:bCs w:val="1"/>
          <w:color w:val="auto"/>
        </w:rPr>
        <w:t>Cash Fee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the Placement Agent’s all reasonable travel and other out-of-pocket expenses, including the reasonable fees, costs, and disbursements of its legal counsel, in an amount not to exceed an aggregate of $50,000.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firstLine="656"/>
        <w:spacing w:after="0" w:line="252" w:lineRule="auto"/>
        <w:tabs>
          <w:tab w:leader="none" w:pos="9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Placement Agent’s exclusive engagement shall begin on the date hereof and continue until the earlier of (i) the Closing Date (the “</w:t>
      </w:r>
      <w:r>
        <w:rPr>
          <w:rFonts w:ascii="Times New Roman" w:cs="Times New Roman" w:eastAsia="Times New Roman" w:hAnsi="Times New Roman"/>
          <w:sz w:val="18"/>
          <w:szCs w:val="18"/>
          <w:b w:val="1"/>
          <w:bCs w:val="1"/>
          <w:color w:val="auto"/>
        </w:rPr>
        <w:t>Exclusive Term</w:t>
      </w:r>
      <w:r>
        <w:rPr>
          <w:rFonts w:ascii="Times New Roman" w:cs="Times New Roman" w:eastAsia="Times New Roman" w:hAnsi="Times New Roman"/>
          <w:sz w:val="18"/>
          <w:szCs w:val="18"/>
          <w:color w:val="auto"/>
        </w:rPr>
        <w:t>”), and (ii) the date the Placement Agent or the Company terminates the engagement according to the terms of the next sentence (such date,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and the period of time during which this Agreement remains in effect is referred to herein as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The engagement may be terminated at any time by either party hereto upon seven (7) days written notice to the other party, effective upon receipt of written notice to that effect by the other party. Unless otherwise provided under this Agreement, the provisions concerning the Company’s obligation to pay any fees actually earned pursuant to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hereof and to pay or reimburse the Placement Agent for any expenses incurred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hereof, the Company’s obligations contained in the indemnification provisions, and the provisions concerning indemnification and contribution contained herein will survive any expiration or termination of this Agreement for any reason. All fees and expense payments or reimbursements due to the Placement Agent shall be paid by the Company to the Placement Agent on or before the Termination Date (in the event such fees and expenses are earned or owed as of the Termination Date). Furthermore, the Company agrees that during the Placement Agent’s engagement hereunder, all inquiries from prospective U.S. investors with respect to the Offering will be referred to the Placement Agent. Additionally, except as set forth hereunder or otherwise disclosed to the Placement Agent in writing, the Company represents, warrants and covenants that no brokerage or finder’s fees or commissions are or will be payable by the Company or any subsidiary of the Company to any broker, financial advisor or consultant, finder, placement agent, investment banker, bank or other third-party with respect to the Offering.</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services provided by the Placement Agent hereunder are solely for the benefit of the Company and are not intended to confer any rights upon any persons or entities not a party hereto (including, without limitation, security holders, employees or creditors of the Company) as against the Placement Agent or its directors, officers, agents and employees.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Section 2. Representations, Warranties and Covenants of the Company</w:t>
      </w:r>
      <w:r>
        <w:rPr>
          <w:rFonts w:ascii="Times New Roman" w:cs="Times New Roman" w:eastAsia="Times New Roman" w:hAnsi="Times New Roman"/>
          <w:sz w:val="18"/>
          <w:szCs w:val="18"/>
          <w:color w:val="auto"/>
        </w:rPr>
        <w:t>. The Company hereby represents and warrants to the Placement Agent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is true and correct as of the date hereof, and will be true and correct as of the Closing Date, and covenants and agrees as follows:</w:t>
      </w:r>
    </w:p>
    <w:p>
      <w:pPr>
        <w:spacing w:after="0" w:line="155" w:lineRule="exact"/>
        <w:rPr>
          <w:sz w:val="20"/>
          <w:szCs w:val="20"/>
          <w:color w:val="auto"/>
        </w:rPr>
      </w:pPr>
    </w:p>
    <w:p>
      <w:pPr>
        <w:jc w:val="both"/>
        <w:ind w:firstLine="656"/>
        <w:spacing w:after="0" w:line="252" w:lineRule="auto"/>
        <w:tabs>
          <w:tab w:leader="none" w:pos="9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Filings</w:t>
      </w:r>
      <w:r>
        <w:rPr>
          <w:rFonts w:ascii="Times New Roman" w:cs="Times New Roman" w:eastAsia="Times New Roman" w:hAnsi="Times New Roman"/>
          <w:sz w:val="18"/>
          <w:szCs w:val="18"/>
          <w:color w:val="auto"/>
        </w:rPr>
        <w:t>. The Company has prepared and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S-3 (File No. 333-292934) for the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the Securities, which registration statement became effective on March 18, 2026. At the time of such filing, the Company met the requirements of Form S-3 under the Securities Act. Such registration statement meets the requirements set forth in Rule 415(a)(1)(x) under the Securities Act and complies with said Rule. The Company will file with the Commission pursuant to Rule 424(b) under the Securities Act, and the rules and regulations (the “</w:t>
      </w:r>
      <w:r>
        <w:rPr>
          <w:rFonts w:ascii="Times New Roman" w:cs="Times New Roman" w:eastAsia="Times New Roman" w:hAnsi="Times New Roman"/>
          <w:sz w:val="18"/>
          <w:szCs w:val="18"/>
          <w:b w:val="1"/>
          <w:bCs w:val="1"/>
          <w:color w:val="auto"/>
        </w:rPr>
        <w:t>Rules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of the Commission promulgated thereunder, a supplement to the form of prospectus included in such registration statement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placement of the Public Securities and the plan of distribution thereof and has advised the Placement Agent of all further information (financial and other) with respect to the Company required to be set forth therein. Such registration statement, including the exhibits thereto, as amended at the date of this Agreement, is hereinafter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such prospectus in the form in which it appears in the Registration Statement is hereinafter called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the supplemented form of prospectus, in the form in which it will be filed with the Commission pursuant to Rule 424(b) (including the Base Prospectus as so supplemented) is hereinafter called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Any reference in this Agreement to the Registration Statement, the Base Prospectus or the Prospectus Supplement shall be deemed to refer to and include the documents incorporated by reference therein (the “</w:t>
      </w:r>
      <w:r>
        <w:rPr>
          <w:rFonts w:ascii="Times New Roman" w:cs="Times New Roman" w:eastAsia="Times New Roman" w:hAnsi="Times New Roman"/>
          <w:sz w:val="18"/>
          <w:szCs w:val="18"/>
          <w:b w:val="1"/>
          <w:bCs w:val="1"/>
          <w:color w:val="auto"/>
        </w:rPr>
        <w:t>Incorporated Documents</w:t>
      </w:r>
      <w:r>
        <w:rPr>
          <w:rFonts w:ascii="Times New Roman" w:cs="Times New Roman" w:eastAsia="Times New Roman" w:hAnsi="Times New Roman"/>
          <w:sz w:val="18"/>
          <w:szCs w:val="18"/>
          <w:color w:val="auto"/>
        </w:rPr>
        <w:t>”) pursuant to Item 6 of Form S-3 which were filed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on or before the date of this Agreement, or the issue date of the Base Prospectus or the Prospectus Supplement, as the case may be; and any reference in this Agreement to the terms “amend,” “amendment” or “supplement” with respect to the Registration Statement, the Base Prospectus or the Prospectus Supplement shall be deemed to refer to and include the filing of any document under the Exchange Act after the date of this Agreement, or the issue date of the Base Prospectus or the Prospectus Supplement, as the case may be, deemed to be incorporated therein by reference. All references in this Agreement to financial statements and schedules and other information which is “contained,” “included,” “described,” “referenced,” “set forth” or “stated” in the Registration Statement, the Base Prospectus or the Prospectus Supplement (and all other references of like import) shall be deemed to mean and include all such financial statements and schedules and other information which is or is deemed to be incorporated by reference in the Registration Statement, the Base Prospectus or the Prospectus Supplement, as the case may be. No stop order suspending the effectiveness of the Registration Statement or the use of the Base Prospectus or the Prospectus Supplement has been issued, and no proceeding for any such purpose is pending or has been initiated or, to the Company’s knowledge, is threatened by the Commission. 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firstLine="656"/>
        <w:spacing w:after="0" w:line="252"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Assurances</w:t>
      </w:r>
      <w:r>
        <w:rPr>
          <w:rFonts w:ascii="Times New Roman" w:cs="Times New Roman" w:eastAsia="Times New Roman" w:hAnsi="Times New Roman"/>
          <w:sz w:val="18"/>
          <w:szCs w:val="18"/>
          <w:color w:val="auto"/>
        </w:rPr>
        <w:t>. The Registration Statement, as amended, (and any further documents to be filed with the SEC) contains all exhibits and schedules as required by the Securities Act. Each of the Registration Statement and any post-effective amendment thereto, at the time it became effective, complied in all material respects with the Securities Act and the applicable Rules and Regulations and did not contain any untrue statement of a material fact or omit to state a material fact required to be stated therein or necessary to make the statements therein not misleading. The Preliminary Prospectus and the Prospectus, each as of its respective date, complies or will comply in all material respects with the Securities Act and the applicable Rules and Regulations. Each of the Preliminary Prospectus and the Prospectus, as amended or supplemented, did not and will not contain as of the date thereof any untrue statement of a material fact or omit to state a material fact necessary in order to make the statements therein, in light of the circumstances under which they were made, not misleading. The Incorporated Documents, when they were filed with the SEC, conformed in all material respects to the requirements of the Exchange Act and the applicable Rules and Regulations promulgated thereunder, and none of such documents, when they were filed with the SEC, contained any untrue statement of a material fact or omitted to state a material fact necessary to make the statements therein (with respect to Incorporated Documents incorporated by reference in the Preliminary Prospectus or the Prospectus),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SEC. Except for this Agreement and the Transaction Documents, there are no documents required to be filed with the SEC in connection with the transaction contemplated hereby that (x) have not been filed as required pursuant to the Securities Act or (y) will not be filed within the requisite time period. Except for this Agreement and the Transaction Documents, there are no contracts or other documents required to be described in the Preliminary Prospectus or the Prospectus, or to be filed as exhibits or schedules to the Registration Statement, which have not been described or filed as required.</w:t>
      </w:r>
    </w:p>
    <w:p>
      <w:pPr>
        <w:spacing w:after="0" w:line="193"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Materials</w:t>
      </w:r>
      <w:r>
        <w:rPr>
          <w:rFonts w:ascii="Times New Roman" w:cs="Times New Roman" w:eastAsia="Times New Roman" w:hAnsi="Times New Roman"/>
          <w:sz w:val="18"/>
          <w:szCs w:val="18"/>
          <w:color w:val="auto"/>
        </w:rPr>
        <w:t>. Neither the Company nor any of its directors and officers has distributed and none of them will distribute, prior to the Closing Date, any offering material in connection with the offering and sale of the Securities other than the Time of Sale Disclosure Package.</w:t>
      </w:r>
    </w:p>
    <w:p>
      <w:pPr>
        <w:spacing w:after="0" w:line="157" w:lineRule="exact"/>
        <w:rPr>
          <w:rFonts w:ascii="Times New Roman" w:cs="Times New Roman" w:eastAsia="Times New Roman" w:hAnsi="Times New Roman"/>
          <w:sz w:val="18"/>
          <w:szCs w:val="18"/>
          <w:color w:val="auto"/>
        </w:rPr>
      </w:pPr>
    </w:p>
    <w:p>
      <w:pPr>
        <w:jc w:val="both"/>
        <w:ind w:firstLine="656"/>
        <w:spacing w:after="0" w:line="259"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are set forth in the Registration Statement. The Company owns, directly or indirectly, all of the capital stock or other equity interests of each Subsidiary free and clear of any liens, charges, security interests, encumbrances, rights of first refusal, preemptive rights or other restrictions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and all of the issued and outstanding shares of capital stock of each Subsidiary are validly issued and are fully paid, non-assessable and free of preemptive and similar rights to subscribe for or purchase securities.</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0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if applicable under the laws of the jurisdiction in which they are formed,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in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this Agreement, the Transaction Documents or any other agreement or instrument relating to the Offering, (ii) a material adverse effect on the results of operations, assets, business or condition (financial or otherwise) of the Company and the Subsidiaries, or (iii) a material adverse effect on the Company’s ability to perform in any material respect on a timely basis its obligations under this Agreement or the transactions contemplated under the Preliminary Prospectus (any of (i), (ii) or (iii),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change in the market price or trading volume of the Common Stock alone shall not be deemed, in and of itself, to constitute a Material Adverse Effect. No action, claim, suit, investigation or proceeding (including, without limitation, an informal inquiry), whether commenced or to the Company’s knowledge, threatened against the Company before any court, governmental agency or regulatory authority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has been instituted in any such jurisdiction revoking, limiting or curtailing or seeking to revoke, limit or curtail such power and authority or qualification.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ind w:firstLine="656"/>
        <w:spacing w:after="0" w:line="253" w:lineRule="auto"/>
        <w:tabs>
          <w:tab w:leader="none" w:pos="88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the Transaction Documents and the Time of Sale Disclosure Package and otherwise to carry out its obligations hereunder and thereunder. The execution and delivery of each of this Agreement, the Transaction Documents and the Time of Sale Disclosure Package by the Company and the consummation by it of the transactions contemplated hereby and thereby and under the Preliminary Prospectus have been duly authorized by all necessary action on the part of the Company and no further action is required by the Company, the Company’s Board of Directors or the Company’s shareholders in connection therewith other than in connection with the Required Approvals (as defined in the Securities Purchase Agreement). This Agreement and each Transaction Document has been duly executed by the Company and, when delivered in accordance with the terms hereof, will constitute valid and binding obligations of the Company enforceable against the Company in accordance with their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4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each Transaction Document and the transactions contemplated hereby, thereby and pursuant to the Time of Sale Disclosure Package, the issuance and sale of the Securities and the consummation by it of the transactions contemplated hereby and thereby to which it is a party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w:t>
      </w:r>
    </w:p>
    <w:p>
      <w:pPr>
        <w:jc w:val="both"/>
        <w:ind w:firstLine="8"/>
        <w:spacing w:after="0" w:line="253" w:lineRule="auto"/>
        <w:tabs>
          <w:tab w:leader="none" w:pos="3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Agreement and the transactions contemplated by the Preliminary Prospectus, other than: (i) the filing with the SEC of the Prospectus Supplement and such other filings as are required to be made under applicable state securities laws, and (ii) application(s) to each applicable Trading Market for the listing of the Shares for trading thereon in the time and manner required thereby. As used herein (i) “</w:t>
      </w:r>
      <w:r>
        <w:rPr>
          <w:rFonts w:ascii="Times New Roman" w:cs="Times New Roman" w:eastAsia="Times New Roman" w:hAnsi="Times New Roman"/>
          <w:sz w:val="18"/>
          <w:szCs w:val="18"/>
          <w:b w:val="1"/>
          <w:bCs w:val="1"/>
          <w:color w:val="auto"/>
        </w:rPr>
        <w:t>Persons</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 and (ii)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firstLine="656"/>
        <w:spacing w:after="0" w:line="282" w:lineRule="auto"/>
        <w:tabs>
          <w:tab w:leader="none" w:pos="8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Shares are duly authorized and, when issued and paid for in accordance with the Prospectus, will be duly and validly issued, fully paid and nonassessable, free and clear of all Liens imposed by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51" w:lineRule="auto"/>
        <w:tabs>
          <w:tab w:leader="none" w:pos="8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is as set forth in the Registration Statement. The Company has not issued any capital stock or Common Stock Equivalents since its most recently filed SEC Report (as defined below), other than pursuant to the exercise of employee stock options or vesting and settlement of restricted stock units under the Company’s stock option plans, the issuance of shares of Common Stock to employees pursuant to any employee stock purchase plans and pursuant to the conversion and/or exercise of securities of the Company or the Subsidiaries which would entitle the holder thereof to acquire at any time any Common Stock, including, without limitation, any debt, preferred stock, rights, options, warrants or other instrument that is at any time convertible into or exercisable or exchangeable for, or otherwise entitles the holder thereof to receive, Common Stock (“Common Stock Equivalents”) outstanding as of the date of the most recently filed periodic report under the Exchange Act. No Person has any right of first refusal, preemptive right, right of participation, or any similar right to participate in the transactions contemplated by this Agreement and the transactions contemplated pursuant to the Preliminary Prospectus or the Prospectus. Except as a result of the purchase and sale of the Securities and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except as set forth in the SEC Report. The issuance and sale of the Securities will not obligate the Company or any Subsidiary to issue shares of Common Stock or other securities to any Person (other than the Purchasers and the Placement Agent) and will not result in a right of any holder of Company securities to adjust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where applicable, and none of such outstanding shares was issued in violation of any preemptive rights or similar rights to subscribe for or purchase securities. Except for the Required Approvals, no further approval or authorization of any shareholder, the Board of Directors or others is required for the issuance and sale of the Securities. There are no shareholders agreements, voting agreements or other similar agreements with respect to the Company’s capital stock to which the Company is a party or, to the knowledge of the Company, between or among any of the Company’s shareholders.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ind w:firstLine="656"/>
        <w:spacing w:after="0" w:line="251" w:lineRule="auto"/>
        <w:tabs>
          <w:tab w:leader="none" w:pos="9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one (1) year preceding the date hereof (or such shorter period as the Company was required by law or regulation to file such material) (the foregoing materials, including the exhibits thereto and documents incorporated by reference therein, together with the Preliminary Prospectus, the Prospectus and any prospectus supplement, being collectively referred to herein as the “</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SEC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selected financial data set forth under the caption “Selected Financial Data” in the SEC Reports fairly present, on the basis stated in such SEC Reports, the information included therein. The agreements and documents described in the Registration Statement and the SEC Reports conform in all material aspects to the descriptions thereof contained therein and there are no agreements or other documents required by the Securities Act and the rules and regulations thereunder to be described in the Registration Statement, the Prospectus or the SEC Reports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referred to in the Registration Statement or the SEC Reports,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None of such agreements or instruments has been assigned by the Company, and neither the Company nor, to the best of the Company’s knowledge, any other party is in default thereunder and, to the best of the Company’s knowledge, no event has occurred that, with the lapse of time or the giving of notice, or both, would constitute a default thereunder. To the best of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both"/>
        <w:ind w:firstLine="656"/>
        <w:spacing w:after="0" w:line="252" w:lineRule="auto"/>
        <w:tabs>
          <w:tab w:leader="none" w:pos="8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Preliminary Prospectus or the Prospectus, except as disclosed in the Preliminary Prospectus or the Prospectus, as the case may be, (i) there has been no event, occurrence or development that has had or that could reasonably be expected to result in a Material Adverse Effect, (ii) except as disclosed in the SEC Reports,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SEC, (iii) the Company has not altered its method of accounting, (iv) the Company has not declared or made any dividend or distribution of cash or other property to its shareholders or purchased, redeemed or made any agreements to purchase or redeem any shares of its capital stock, and (v) the Company has not issued any equity securities to any officer, director or Affiliate, except pursuant to existing Company equity incentive plans. Except as disclosed in the SEC Reports, the Company does not have pending before the SEC any request for confidential treatment of information. Except for the issuance of the Securities contemplated or disclosed in the Preliminary Prospectus or the Prospectus or as disclosed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 As used in this Agreement,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Trading Market (as defined below) is open for trading. As used in this Agreement, “</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The Nasdaq Capital Market, the securities exchange on which the Common Stock is listed for trading.</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9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disclosed in the SEC Reports, there is no Proceeding pending or, to the knowledge of the Company, threatened against or affecting the Company, any Subsidiary or any of their respective properties before or by any court, arbitrator, governmental or administrative agency or regulatory authority (federal, state, county, local or foreign) which (i) adversely affects or challenges the legality, validity or enforceability of any of this Agreement, the Transaction Documents and the transactions contemplated pursuant to the Time of Sale Disclosure Package or the Securities or (ii) could, if there were an unfavorable decision, have or reasonably be expected to result in a Material Adverse Effect. Neither the Company nor any Subsidiary, nor any director or officer thereof, is or has been the subject of any Proceeding involving a claim of violation of or liability under federal or state securities laws or a claim of breach of fiduciary duty which could have or reasonably be expected to result in a Material Adverse Effect. Except as set forth in the SEC Reports, there has not been, and to the knowledge of the Company, there is not pending or contemplated, any investigation or informal inquiry by the SEC or its Staff involving the Company or any current or former director or officer of the Company. The SEC has not issued any stop order or other order suspending the effectiveness of any registration statement filed by the Company or any Subsidiary under the Exchange Act or the Securities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ind w:firstLine="656"/>
        <w:spacing w:after="0" w:line="252" w:lineRule="auto"/>
        <w:tabs>
          <w:tab w:leader="none" w:pos="9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(1) No material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(2) No executive officer of the Company or any Subsidiary, to the knowledge of the Company,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(3) To the Company’s knowledge, (a) no allegation of sexual harassment, sexual misconduct or discrimination, whether such discrimination arises from race, ethnic background, sex, gender status, age or otherwise (“</w:t>
      </w:r>
      <w:r>
        <w:rPr>
          <w:rFonts w:ascii="Times New Roman" w:cs="Times New Roman" w:eastAsia="Times New Roman" w:hAnsi="Times New Roman"/>
          <w:sz w:val="18"/>
          <w:szCs w:val="18"/>
          <w:b w:val="1"/>
          <w:bCs w:val="1"/>
          <w:color w:val="auto"/>
        </w:rPr>
        <w:t>Misconduct</w:t>
      </w:r>
      <w:r>
        <w:rPr>
          <w:rFonts w:ascii="Times New Roman" w:cs="Times New Roman" w:eastAsia="Times New Roman" w:hAnsi="Times New Roman"/>
          <w:sz w:val="18"/>
          <w:szCs w:val="18"/>
          <w:color w:val="auto"/>
        </w:rPr>
        <w:t>”) have been made involving any current or former director, officer, employee or independent contractor of the Company or any of its Subsidiaries, (b) neither the Company nor any of its Subsidiaries have entered into any settlement agreements related to allegations of Misconduct by any current or former director, officer, employee, or independent contractor of the Company or any of its Subsidiaries. (4)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In addition to Section 2(n),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governmental authority, or (iii) is or has been in violation of any law, statute, rule, ordinance or regulation of any governmental authority, including without limitation all foreign, federal, state and local laws, state unfair trade practice laws and rules and foreign equivalents, taxes, environmental protection, occupational health and safety and product quality matters, except in each case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Time of Sale Disclosure Package, except where the failure to possess such permits would not or could not reasonably be expected to result in a Material Adverse Effect (“</w:t>
      </w:r>
      <w:r>
        <w:rPr>
          <w:rFonts w:ascii="Times New Roman" w:cs="Times New Roman" w:eastAsia="Times New Roman" w:hAnsi="Times New Roman"/>
          <w:sz w:val="18"/>
          <w:szCs w:val="18"/>
          <w:b w:val="1"/>
          <w:bCs w:val="1"/>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 The disclosures in the Registration Statement concerning the effects of applicable federal, state, local and all foreign regulation on the Company’s business as currently contemplated are correct in all material respects. The Company is and has been in material compliance with any term of any such Material Permits, except for any violations which would not reasonably be expected to have a Material Adverse Effect. The Company has not received notice of any Proceeding from any governmental authority or third party alleging that any Product, operation or activity is in violation of any applicable laws or regulations or Material Permits or has any knowledge that any such entity or third party is considering any such Proceeding, nor, to the Company’s knowledge, has there been any material noncompliance with or violation of any applicable laws or regulations by the Company that could reasonably be expected to require the issuance of any such communication or result in an investigation, corrective action, or enforcement action by any governmental authority.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ind w:firstLine="656"/>
        <w:spacing w:after="0" w:line="255" w:lineRule="auto"/>
        <w:tabs>
          <w:tab w:leader="none" w:pos="9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Liens as do not materially affect the value of such property and do not materially interfere with the use made and proposed to be made of such property by the Company and the Subsidiaries and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8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Patents and Trademarks</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material for use in connection with their respective businesses as described in the Preliminary Prospectus and Prospectus and which the failure to so have could have a Material Adverse Effect (collectively, the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Preliminary Prospectus and the Prospectus, a notice (written or otherwise) of a claim or otherwise has any knowledge that the Intellectual Property Rights violate or infringe upon the rights of any Person, except as would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8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commercially reasonable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87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or the Time of Sale Disclosure Package, none of the executive officers or directors of the Company or any Subsidiary and, to the knowledge of the Company, none of the employees of the Company or any Subsidiary is presently a party to any transaction with the Company or any Subsidiary (other than for services as employees, executive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executive officer, director or such employee or, to the knowledge of the Company, any entity in which any executive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and (iii) other employee benefits, including equity award or option agreements under any equity incentive plan or similar of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both"/>
        <w:ind w:firstLine="656"/>
        <w:spacing w:after="0" w:line="252" w:lineRule="auto"/>
        <w:tabs>
          <w:tab w:leader="none" w:pos="9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that are effective as of the date hereof, and any and all applicable rules and regulations promulgated by the SEC thereunder that are effective as of the date hereof and as of the Closing Date. Except as disclosed in the Preliminary Prospectus or the Prospectus,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SEC’s rules and forms. The Company’s certifying officers have evaluated the effectiveness of the Company’s disclosure controls and procedures of the Company and the Subsidiaries as of the end of the period covered by the Company’s most recently filed periodic report under the Exchange Act (such date, the “</w:t>
      </w:r>
      <w:r>
        <w:rPr>
          <w:rFonts w:ascii="Times New Roman" w:cs="Times New Roman" w:eastAsia="Times New Roman" w:hAnsi="Times New Roman"/>
          <w:sz w:val="18"/>
          <w:szCs w:val="18"/>
          <w:b w:val="1"/>
          <w:bCs w:val="1"/>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set forth in the Preliminary Prospectus or the Prospectus, no brokerage or finder’s fees or commissions are or will be payable by the Company to any broker, dealer, financial advisor or consultant, finder, placement agent, investment banker, bank or other Person with respect to the transactions contemplated by this Agreement and the transactions contemplated pursuant to the Preliminary Prospectus and the Prospectus. The Investors shall have no obligation with respect to any fees or with respect to any claims made by or on behalf of other Persons for fees of a type contemplated in this Section 2(v) that may be due in connection with the transactions contemplated by this Agreement and the transactions contemplated pursuant to the Preliminary Prospectus and the Prospectus.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disclosed in the Preliminary Prospectus or the Prospectus, no Person has any right to cause the Company or any Subsidiary to effect the registration under the Securities Act of any securities of the Company or any Subsidiary.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both"/>
        <w:ind w:firstLine="656"/>
        <w:spacing w:after="0" w:line="254" w:lineRule="auto"/>
        <w:tabs>
          <w:tab w:leader="none" w:pos="9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 Except as disclosed in the SEC Reports, the Preliminary Prospectus or the Prospectus, the Company has not, in the twelve (12) months preceding the date hereof, received notice from any Trading Market on which the Common Stock is or has been listed or quoted to the effect that the Company is not in compliance with the listing or maintenance requirements of such Trading Market. Except as otherwise disclosed in the SEC Reports, and the Prospectus,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9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Investors as a result of the Investors and the Company fulfilling their obligations or exercising their rights under this Agreement and the transactions contemplated pursuant to the Preliminary Prospectus, including without limitation as a result of the Company’s issuance of the Securities and the Investors’ ownership of the Securities.</w:t>
      </w:r>
    </w:p>
    <w:p>
      <w:pPr>
        <w:spacing w:after="0" w:line="187" w:lineRule="exact"/>
        <w:rPr>
          <w:sz w:val="20"/>
          <w:szCs w:val="20"/>
          <w:color w:val="auto"/>
        </w:rPr>
      </w:pPr>
    </w:p>
    <w:p>
      <w:pPr>
        <w:jc w:val="both"/>
        <w:ind w:firstLine="656"/>
        <w:spacing w:after="0" w:line="253" w:lineRule="auto"/>
        <w:tabs>
          <w:tab w:leader="none" w:pos="9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this Agreement and the transactions contemplated pursuant to the Preliminary Prospectus and the Prospectus, the Company confirms that neither it nor any other Person acting on its behalf has provided any of the Investors or their agents or counsel with any information that it believes constitutes or might constitute material, non-public information which is not otherwise disclosed in the Time of Sale Disclosure Package. The Company understands and confirms that the Investors will rely on the foregoing representation in effecting transactions in securities of the Company. All of the disclosure furnished by or on behalf of the Company to the Investors regarding the Company and, its Subsidiaries, their respective businesses and the transactions contemplated hereby, including the Time of Sale Disclosure Package,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(12) months preceding the date of this Agreement taken as a whole did not contain, at their respective times of issuance, any untrue statement of a material fact or omit to state a material fact required to be stated therein or necessary in order to make the statements therein, in light of the circumstances under which they were made and when made, not misleading.</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Securities Purchase Agreement,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both"/>
        <w:ind w:firstLine="656"/>
        <w:spacing w:after="0" w:line="252" w:lineRule="auto"/>
        <w:tabs>
          <w:tab w:leader="none" w:pos="9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Except as disclosed in the Preliminary Prospectus or the Prospectus,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Except as disclosed in the Preliminary Prospectus or the Prospectus, the Company has no knowledge of any facts or circumstances which lead it to believe that it will file for reorganization or liquidation under the bankruptcy or reorganization laws of any jurisdiction within one year from each Closing Date. The Time of Sale Disclosure Package discloses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Fifty Thousand Dollars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One Hundred Thousand Dollars ($100,000) due under leases required to be capitalized in accordance with GAAP. Neither the Company nor any Subsidiary is in default with respect to any Indebtedness.</w:t>
      </w:r>
    </w:p>
    <w:p>
      <w:pPr>
        <w:spacing w:after="0" w:line="190" w:lineRule="exact"/>
        <w:rPr>
          <w:rFonts w:ascii="Times New Roman" w:cs="Times New Roman" w:eastAsia="Times New Roman" w:hAnsi="Times New Roman"/>
          <w:sz w:val="18"/>
          <w:szCs w:val="18"/>
          <w:color w:val="auto"/>
        </w:rPr>
      </w:pPr>
    </w:p>
    <w:p>
      <w:pPr>
        <w:jc w:val="both"/>
        <w:ind w:firstLine="656"/>
        <w:spacing w:after="0" w:line="255" w:lineRule="auto"/>
        <w:tabs>
          <w:tab w:leader="none" w:pos="9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(i) has made or filed all applicable United States federal, state and local income and franchise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9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Company has taken reasonable steps to ensure that its accounting controls and procedures are sufficient to cause the Company to comply in all material respects with the FCPA.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left="940" w:hanging="284"/>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set forth in the Preliminary Prospectus and the Prospectus. To the knowledge of the Company, such accounting firm (i) is a registered public accounting firm as required by the Exchange Act and (ii) shall express its opinion with respect to the financial statements to be included in the Company’s Annual Report for the fiscal year ending December 31, 2024.</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(other than the Placement Agent, as to which no representation is made)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to the Company’s knowledge, any director, officer, agent, employee or Affiliate of the Company or any Subsidiary is currently subject to any U.S. sanctions administered by the Office of Foreign Assets Control of the U.S. Treasury Department.</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and the Company shall so certify upon any Investor’s request.</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b w:val="1"/>
          <w:bCs w:val="1"/>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b w:val="1"/>
          <w:bCs w:val="1"/>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1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United States federal and state and foreign money laundering statutes and applicable rules and regulations thereunder (collectively,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Laundering Laws</w:t>
      </w:r>
      <w:r>
        <w:rPr>
          <w:rFonts w:ascii="Times New Roman" w:cs="Times New Roman" w:eastAsia="Times New Roman" w:hAnsi="Times New Roman"/>
          <w:sz w:val="18"/>
          <w:szCs w:val="18"/>
          <w:color w:val="auto"/>
        </w:rPr>
        <w:t>”), and no Proceeding by or before any court or governmental agency, authority or body or any arbitrator involving the Company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Money Laundering Laws is pending or, to the knowledge of the Company, threatened.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firstLine="656"/>
        <w:spacing w:after="0" w:line="282" w:lineRule="auto"/>
        <w:tabs>
          <w:tab w:leader="none" w:pos="9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Any certificate signed by an officer of the Company and delivered to the Placement Agent shall be deemed to be a representation and warranty by the Company to the Placement Agent as to the matters set forth therein.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Company acknowledges that the Placement Agent will rely upon the accuracy and truthfulness of the foregoing representations and warranties and hereby consents to such reliance.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statements (within the meaning of Section 27A of the Securities Act and Section 21E of the Exchange Act) contained in the Time of Sale Disclosure Package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or Market-Related Data</w:t>
      </w:r>
      <w:r>
        <w:rPr>
          <w:rFonts w:ascii="Times New Roman" w:cs="Times New Roman" w:eastAsia="Times New Roman" w:hAnsi="Times New Roman"/>
          <w:sz w:val="18"/>
          <w:szCs w:val="18"/>
          <w:color w:val="auto"/>
        </w:rPr>
        <w:t>. Any statistical, industry-related and market-related data included or incorporated by reference in the Time of Sale Disclosure Package, are based on or derived from sources that the Company reasonably and in good faith believes to be reliable and accurate, and such data agree with the sources from which they are derived.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Affiliations</w:t>
      </w:r>
      <w:r>
        <w:rPr>
          <w:rFonts w:ascii="Times New Roman" w:cs="Times New Roman" w:eastAsia="Times New Roman" w:hAnsi="Times New Roman"/>
          <w:sz w:val="18"/>
          <w:szCs w:val="18"/>
          <w:color w:val="auto"/>
        </w:rPr>
        <w:t>. There are no affiliations with any firm that is a member of the FINRA participating in the Offering among the Company’s officers, directors or, to the knowledge of the Company, any 5% or greater shareholder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Company’s Board of Directors is comprised of the persons identified as directors of the Company in the Preliminary Prospectus or the Prospectus under the section titled “Management.” The qualifications of the persons serving as board members and the overall composition of the Board of Directors comply with the Sarbanes-Oxley Act of 2002 and the rules promulgated thereunder applicable to the Company and the rules of the Trading Market. At least one member of the Board of Directors qualifies as a “financial expert” as such term is defined under the Sarbanes-Oxley Act of 2002 and the rules promulgated thereunder and the rules of the Trading Market. In addition, at least a majority of the persons serving on the Board of Directors qualify as “independent” as defined under the rules of the Trading Market.</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To the Company’s knowledge,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that would reasonably be expected to result in, individually or in the aggregate, a Material Adverse Effect and (i) the Company and the Subsidiaries have not been notified of, and has no knowledge of any event or condition that would reasonably be expected to result in, any material security breach or other compromise to its IT Systems and Data except as would not, individually or in the aggregate for all such matters referred to in this clause (i), have a Material Adverse Effect;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commercially reasonable industry standards and practices.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ind w:firstLine="656"/>
        <w:spacing w:after="0" w:line="252" w:lineRule="auto"/>
        <w:tabs>
          <w:tab w:leader="none" w:pos="9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To the Company’s knowledge (i) the Company and the Subsidiaries are, and at all times during the last three (3) years were, in material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except as would not, individually or in the aggregate for all such matters referred to in this clause (i), have a Material Adverse Effect.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FTC,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90" w:lineRule="exact"/>
        <w:rPr>
          <w:rFonts w:ascii="Times New Roman" w:cs="Times New Roman" w:eastAsia="Times New Roman" w:hAnsi="Times New Roman"/>
          <w:sz w:val="18"/>
          <w:szCs w:val="18"/>
          <w:color w:val="auto"/>
        </w:rPr>
      </w:pPr>
    </w:p>
    <w:p>
      <w:pPr>
        <w:jc w:val="both"/>
        <w:ind w:firstLine="656"/>
        <w:spacing w:after="0" w:line="254" w:lineRule="auto"/>
        <w:tabs>
          <w:tab w:leader="none" w:pos="9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applicable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Delivery and Payment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8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for the Offering</w:t>
      </w:r>
      <w:r>
        <w:rPr>
          <w:rFonts w:ascii="Times New Roman" w:cs="Times New Roman" w:eastAsia="Times New Roman" w:hAnsi="Times New Roman"/>
          <w:sz w:val="18"/>
          <w:szCs w:val="18"/>
          <w:color w:val="auto"/>
        </w:rPr>
        <w:t>. Delivery of and payment for the Securities shall be made at or around 9:00 a.m., Eastern time, on or before the the date of the Purchase Agreement. The Closing shall take place remotely by electronic transfer of the Closing documentation. On the Closing Date, the Company shall issue such amount of Securities sold pursuant to the Purchase Agreement directly to the accounts designated by the Placement Agent for the applicable Investors and payment shall be made by the Investors by wire transfer to the Company. At the Closing, the Securities which the Company shall deliver to each Investor the number of Shares purchased by such Investor. Subject to the terms and conditions hereof, at the Closing, payment of the purchase price for the Securities sold pursuant to the Purchase Agreement shall be made by federal funds wire transfer, against delivery of the Securities, and such Securities shall be registered in such name or names and shall be in such denominations, as the Placement Agent may request. All actions taken at the Closing shall be deemed to have occurred simultaneously.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ind w:firstLine="656"/>
        <w:spacing w:after="0" w:line="266" w:lineRule="auto"/>
        <w:tabs>
          <w:tab w:leader="none" w:pos="9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for the Securities</w:t>
      </w:r>
      <w:r>
        <w:rPr>
          <w:rFonts w:ascii="Times New Roman" w:cs="Times New Roman" w:eastAsia="Times New Roman" w:hAnsi="Times New Roman"/>
          <w:sz w:val="18"/>
          <w:szCs w:val="18"/>
          <w:color w:val="auto"/>
        </w:rPr>
        <w:t>. The Securities are being sold to the Investors at the public offering price as set forth in the Prospectus Supplement. The purchase of the Securities by each of the Investors shall be evidenced by the receipt of funds in the account designated by the Company and the Placement Agent and execution of a Purchase Agreement by each such Investor and the Company.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the Shares</w:t>
      </w:r>
      <w:r>
        <w:rPr>
          <w:rFonts w:ascii="Times New Roman" w:cs="Times New Roman" w:eastAsia="Times New Roman" w:hAnsi="Times New Roman"/>
          <w:sz w:val="18"/>
          <w:szCs w:val="18"/>
          <w:color w:val="auto"/>
        </w:rPr>
        <w:t>. Delivery of the Shares shall be made through the facilities of The Depository Trust Company unless the Placement Agent shall otherwise instruct.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Covenants and Agreements of the Company</w:t>
      </w:r>
      <w:r>
        <w:rPr>
          <w:rFonts w:ascii="Times New Roman" w:cs="Times New Roman" w:eastAsia="Times New Roman" w:hAnsi="Times New Roman"/>
          <w:sz w:val="18"/>
          <w:szCs w:val="18"/>
          <w:color w:val="auto"/>
        </w:rPr>
        <w:t>. The Company further covenants and agrees with the Placement Agent as follows:</w:t>
      </w:r>
    </w:p>
    <w:p>
      <w:pPr>
        <w:spacing w:after="0" w:line="229" w:lineRule="exact"/>
        <w:rPr>
          <w:sz w:val="20"/>
          <w:szCs w:val="20"/>
          <w:color w:val="auto"/>
        </w:rPr>
      </w:pPr>
    </w:p>
    <w:p>
      <w:pPr>
        <w:jc w:val="both"/>
        <w:ind w:firstLine="656"/>
        <w:spacing w:after="0" w:line="252" w:lineRule="auto"/>
        <w:tabs>
          <w:tab w:leader="none" w:pos="9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Matters</w:t>
      </w:r>
      <w:r>
        <w:rPr>
          <w:rFonts w:ascii="Times New Roman" w:cs="Times New Roman" w:eastAsia="Times New Roman" w:hAnsi="Times New Roman"/>
          <w:sz w:val="18"/>
          <w:szCs w:val="18"/>
          <w:color w:val="auto"/>
        </w:rPr>
        <w:t>. During the Prospectus Delivery Period (as defined below), the Company will advise the Placement Agent promptly after it receives notice thereof of the time when any amendment to the Registration Statement has been filed or becomes effective or any supplement to the Prospectus has been filed and will furnish the Placement Agent with copies thereof. During the Prospectus Delivery Period (as defined in Section 4(c), the Company will file promptly all reports and any definitive proxy or information statements required to be filed by the Company with the SEC pursuant to Section 13(a), 14 or 15(d) of the Exchange Act subsequent to the date of any Prospectus. During the Prospectus Delivery Period, the Company will advise the Placement Agent, promptly after it receives notice thereof (i) of any request by the SEC to amend the Registration Statement or to amend or supplement any Prospectus or for additional information, and (ii) of the issuance by the SEC of any stop order suspending the effectiveness of the Registration Statement or any post-effective amendment thereto or any order directed at any Incorporated Document, if any, or any amendment or supplement thereto or any order preventing or suspending the use of the Prospectus or the Prospectus Supplement or any prospectus supplement or any amendment or supplement thereto or any post-effective amendment to the Registration Statement, of the suspension of the qualification of the Securities for offering or sale in any jurisdiction, of the institution or threatened institution of any Proceeding for any such purpose, or of any request by the SEC for the amending or supplementing of the Registration Statement or a Prospectus or for additional information. The Company shall use its best efforts to prevent the issuance of any such stop order or prevention or suspension of such use. If the SEC shall enter any such stop order or order or notice of prevention or suspension at any time, the Company will use its best efforts to obtain the lifting of such order at the earliest possible moment, or will file a new registration statement and use its best efforts to have such new registration statement declared effective as soon as practicable. Additionally, the Company agrees that during the Prospectus Delivery Period, it shall comply with the provisions of Rules 424(b), 430A, 430B and 430C, as applicable, under the Securities Act, including with respect to the timely filing of documents thereunder, and will use its reasonable efforts to confirm that any filings made by the Company under such Rule 424(b) are received in a timely manner by the SEC. The Company covenants and agrees to update the Prospectus Supplement to include all information required to be included therein, including with respect to any SEC Reports that are filed subsequent to the date of the Prospectus Supplement.</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xml:space="preserve">. The Company will qualify or register the Offering under the securities laws of applicable jurisdictions (United States and foreign) as the Placement Agent and the Investors may reasonably request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Company shall not be required to produce any new disclosure statement or take such action as is necessary for the Offering to be made pursuant to an available exemption from qualification or registration in applicable jurisdictions. During the Prospectus Delivery Period, the Company will, from time to time, prepare and file such statements, reports and other documents as are or may be required to continue such qualifications in effect. During the Prospectus Delivery Period, the Company will advise the Placement Agent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firstLine="656"/>
        <w:spacing w:after="0" w:line="252" w:lineRule="auto"/>
        <w:tabs>
          <w:tab w:leader="none" w:pos="8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a Prospectus and Other Matters</w:t>
      </w:r>
      <w:r>
        <w:rPr>
          <w:rFonts w:ascii="Times New Roman" w:cs="Times New Roman" w:eastAsia="Times New Roman" w:hAnsi="Times New Roman"/>
          <w:sz w:val="18"/>
          <w:szCs w:val="18"/>
          <w:color w:val="auto"/>
        </w:rPr>
        <w:t>. The Company will comply with the Securities Act and the Exchange Act, and the rules and regulations of the SEC thereunder, so as to permit the completion of the distribution of the Securities as contemplated in this Agreement, the Incorporated Documents and any Prospectus. If during the period in which a prospectus is required by law to be delivered in connection with the distribution of Securities contemplated by the Incorporated Documents or any Prospectus (the “</w:t>
      </w:r>
      <w:r>
        <w:rPr>
          <w:rFonts w:ascii="Times New Roman" w:cs="Times New Roman" w:eastAsia="Times New Roman" w:hAnsi="Times New Roman"/>
          <w:sz w:val="18"/>
          <w:szCs w:val="18"/>
          <w:b w:val="1"/>
          <w:bCs w:val="1"/>
          <w:color w:val="auto"/>
        </w:rPr>
        <w:t>Prospectus Delivery Period</w:t>
      </w:r>
      <w:r>
        <w:rPr>
          <w:rFonts w:ascii="Times New Roman" w:cs="Times New Roman" w:eastAsia="Times New Roman" w:hAnsi="Times New Roman"/>
          <w:sz w:val="18"/>
          <w:szCs w:val="18"/>
          <w:color w:val="auto"/>
        </w:rPr>
        <w:t>”), any event shall occur as a result of which, in the judgment of the Company or in the opinion of the Placement Agent or Placement Agent’s Counsel, it becomes necessary to amend or supplement the Incorporated Documents or any Prospectus in order to make the statements therein, in the light of the circumstances under which they were made, as the case may be, not misleading, or if it is necessary at any time to amend or supplement the Incorporated Documents or any Prospectus or to file under the Exchange Act any Incorporated Document to comply with any law, the Company will promptly prepare and file with the SEC, and furnish at its own expense to the Placement Agent and to dealers, an appropriate amendment to the Registration Statement or supplement to the Registration Statement, the Incorporated Documents or any Prospectus that is necessary in order to make the statements in the Incorporated Documents and any Prospectus as so amended or supplemented, in the light of the circumstances under which they were made, as the case may be, not misleading, or so that the Registration Statement, the Incorporated Documents or any Prospectus, as so amended or supplemented, will comply with law. Before amending the Registration Statement or supplementing the Incorporated Documents or any Prospectus in connection with the Offering, the Company will furnish the Placement Agent with a copy of such proposed amendment or supplement and will not file any such amendment or supplement to which the Placement Agent reasonably objects.</w:t>
      </w:r>
    </w:p>
    <w:p>
      <w:pPr>
        <w:spacing w:after="0" w:line="19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of any Amendments and Supplements to a Prospectus</w:t>
      </w:r>
      <w:r>
        <w:rPr>
          <w:rFonts w:ascii="Times New Roman" w:cs="Times New Roman" w:eastAsia="Times New Roman" w:hAnsi="Times New Roman"/>
          <w:sz w:val="18"/>
          <w:szCs w:val="18"/>
          <w:color w:val="auto"/>
        </w:rPr>
        <w:t>. The Company will furnish the Placement Agent, without charge, during the period beginning on the date hereof and ending on the Closing Date of the Offering, as many copies of any Prospectus or Prospectus supplement and any amendments and supplements thereto, as the Placement Agent may reasonably request.</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8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The Company covenants that it will not, unless it obtains the prior written consent of the Placement Agent, make any offer relating to the Securities that would constitute an Issuer Free Writing Prospectus or that would otherwise constitute a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(as defined in Rule 405 of the Securities Act) required to be filed by the Company with the SEC or retained by the Company under Rule 433 of the Securities Act. In the event that the Placement Agent expressly consents in writing to any such Free Writing Prospectus (a “</w:t>
      </w:r>
      <w:r>
        <w:rPr>
          <w:rFonts w:ascii="Times New Roman" w:cs="Times New Roman" w:eastAsia="Times New Roman" w:hAnsi="Times New Roman"/>
          <w:sz w:val="18"/>
          <w:szCs w:val="18"/>
          <w:b w:val="1"/>
          <w:bCs w:val="1"/>
          <w:color w:val="auto"/>
        </w:rPr>
        <w:t>Permitted Free Writing Prospectus</w:t>
      </w:r>
      <w:r>
        <w:rPr>
          <w:rFonts w:ascii="Times New Roman" w:cs="Times New Roman" w:eastAsia="Times New Roman" w:hAnsi="Times New Roman"/>
          <w:sz w:val="18"/>
          <w:szCs w:val="18"/>
          <w:color w:val="auto"/>
        </w:rPr>
        <w:t>”), the Company covenants that it shall (i) treat each Permitted Free Writing Prospectus as an Issuer Free Writing Prospectus, and (ii) comply with the requirements of Rule 164 and 433 of the Securities Act applicable to such Permitted Free Writing Prospectus, including in respect of timely filing with the SEC, legending and record keeping. Notwithstanding anything herein to the contrary, in no event shall the Company make any offer or communication relating to the Offering which meets the definition of a “Free Writing Prospectus” while the Company is an “ineligible issuer” (as such terms are defined in Rule 405 of the Securities Act) or otherwise in contravention of the Securities Act and the Rules and Regulations thereunder.</w:t>
      </w:r>
    </w:p>
    <w:p>
      <w:pPr>
        <w:spacing w:after="0" w:line="188"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will maintain, at its expense, a registrar and transfer agent for the Common Stock.</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As soon as practicable and in accordance with applicable requirements under the Securities Act, but in any event not later than 12 months after the Closing Date, the Company will make generally available to its security holders and to the Placement Agent an earnings statement, covering a period of at least 12 consecutive months beginning after the Closing Date, that satisfies the provisions of Section 11(a) and Rule 158 under the Securities Act.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Periodic Reporting Obligations</w:t>
      </w:r>
      <w:r>
        <w:rPr>
          <w:rFonts w:ascii="Times New Roman" w:cs="Times New Roman" w:eastAsia="Times New Roman" w:hAnsi="Times New Roman"/>
          <w:sz w:val="18"/>
          <w:szCs w:val="18"/>
          <w:color w:val="auto"/>
        </w:rPr>
        <w:t>. During the Prospectus Delivery Period, the Company will duly file, on a timely basis, with the SEC and the Trading Market all reports and documents required to be filed under the Exchange Act within the time periods and in the manner required by the Exchange Act.</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enter into any subscription, purchase or other customary agreements as the Placement Agent or the Investors deem necessary or appropriate to consummate the Closing in connection with the Offering, all of which will be in form and substance reasonably acceptable to the Placement Agent and the Investors. The Company agrees that the Placement Agent may rely upon the representations and warranties, and applicable covenants set forth in any Transaction Document including the Purchase Agreement entered into with Investors in connection with the Offering.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firstLine="656"/>
        <w:spacing w:after="0" w:line="284" w:lineRule="auto"/>
        <w:tabs>
          <w:tab w:leader="none" w:pos="8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Manipulation of Price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not take, directly or indirectly, any action designed to cause or result in, or that has constituted or might reasonably be expected to constitute, the stabilization or manipulation of the price of any securities of the Company.</w:t>
      </w:r>
    </w:p>
    <w:p>
      <w:pPr>
        <w:spacing w:after="0" w:line="160"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Company acknowledges that any advice given by the Placement Agent to the Company is solely for the benefit and use of the Board of Directors of the Company and may not be used, reproduced, disseminated, quoted or referred to, without the Placement Agent’s prior written consent.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Announcement of Offering</w:t>
      </w:r>
      <w:r>
        <w:rPr>
          <w:rFonts w:ascii="Times New Roman" w:cs="Times New Roman" w:eastAsia="Times New Roman" w:hAnsi="Times New Roman"/>
          <w:sz w:val="18"/>
          <w:szCs w:val="18"/>
          <w:color w:val="auto"/>
        </w:rPr>
        <w:t>. The Company acknowledges and agrees that the Placement Agent may, subsequent to the Closing, make public its involvement with the Offering.</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Others</w:t>
      </w:r>
      <w:r>
        <w:rPr>
          <w:rFonts w:ascii="Times New Roman" w:cs="Times New Roman" w:eastAsia="Times New Roman" w:hAnsi="Times New Roman"/>
          <w:sz w:val="18"/>
          <w:szCs w:val="18"/>
          <w:color w:val="auto"/>
        </w:rPr>
        <w:t>. The Company confirms that it will rely on its own counsel and accountants for legal and accounting advice.</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Matters</w:t>
      </w:r>
      <w:r>
        <w:rPr>
          <w:rFonts w:ascii="Times New Roman" w:cs="Times New Roman" w:eastAsia="Times New Roman" w:hAnsi="Times New Roman"/>
          <w:sz w:val="18"/>
          <w:szCs w:val="18"/>
          <w:color w:val="auto"/>
        </w:rPr>
        <w:t>. By entering into this Agreement, the Placement Agent provides no promise, either explicitly or implicitly, of favorable or continued research coverage of the Company and the Company hereby acknowledges and agrees that the Placement Agent’s selection as the placement agent for the Offering was in no way conditioned, explicitly or implicitly, on the Placement Agent’s providing favorable or any research coverage of the Company. In accordance with FINRA Rule 2711(e), the parties acknowledge and agree that the Placement Agent has not directly or indirectly offered favorable research, a specific rating or a specific price target, or threatened to change research, a rating or a price target, to the Company or inducement for the receipt of business or compensation.</w:t>
      </w:r>
    </w:p>
    <w:p>
      <w:pPr>
        <w:spacing w:after="0" w:line="187" w:lineRule="exact"/>
        <w:rPr>
          <w:sz w:val="20"/>
          <w:szCs w:val="20"/>
          <w:color w:val="auto"/>
        </w:rPr>
      </w:pPr>
    </w:p>
    <w:p>
      <w:pPr>
        <w:ind w:left="920" w:hanging="26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Tail Fee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5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Tail Fee</w:t>
      </w:r>
      <w:r>
        <w:rPr>
          <w:rFonts w:ascii="Times New Roman" w:cs="Times New Roman" w:eastAsia="Times New Roman" w:hAnsi="Times New Roman"/>
          <w:sz w:val="18"/>
          <w:szCs w:val="18"/>
          <w:color w:val="auto"/>
        </w:rPr>
        <w:t>. The Company and the Placement Agent agree that for a period of twelve (12) months from (i) the Closing Date of the Offering or (ii) if the Closing does not occur, the termination of this Agreement by the Company other than for Cause, the Placement Agent shall be entitled to compensation commensurate with those set forth under Section 1(a) (the “</w:t>
      </w:r>
      <w:r>
        <w:rPr>
          <w:rFonts w:ascii="Times New Roman" w:cs="Times New Roman" w:eastAsia="Times New Roman" w:hAnsi="Times New Roman"/>
          <w:sz w:val="18"/>
          <w:szCs w:val="18"/>
          <w:b w:val="1"/>
          <w:bCs w:val="1"/>
          <w:color w:val="auto"/>
        </w:rPr>
        <w:t>Tail Fee</w:t>
      </w:r>
      <w:r>
        <w:rPr>
          <w:rFonts w:ascii="Times New Roman" w:cs="Times New Roman" w:eastAsia="Times New Roman" w:hAnsi="Times New Roman"/>
          <w:sz w:val="18"/>
          <w:szCs w:val="18"/>
          <w:color w:val="auto"/>
        </w:rPr>
        <w:t>”), from the sale of any equity, debt and/or equity derivative instruments to any investor actually introduced by the Placement Agent to the Company, but unknown to the Company prior to such introduction, during the period between the date of this Agreement and the Closing of the Offering or the termination of this Agreement, as applicable (each, a “</w:t>
      </w:r>
      <w:r>
        <w:rPr>
          <w:rFonts w:ascii="Times New Roman" w:cs="Times New Roman" w:eastAsia="Times New Roman" w:hAnsi="Times New Roman"/>
          <w:sz w:val="18"/>
          <w:szCs w:val="18"/>
          <w:b w:val="1"/>
          <w:bCs w:val="1"/>
          <w:color w:val="auto"/>
        </w:rPr>
        <w:t>Tail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 and such Tail Financing is consummated at any time within the twelve (12) month period from the Closing Date of the Offering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this Agreement, as applicable.</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Notwithstanding anything herein to the contrary, in accordance with FINRA Rule 5110(g)(5)(B), this Section 4(q) and the Tail Fee contemplated hereby may be terminated by the Company for “Cause”, which shall mean a material breach by the Placement Agent of this Agreement or a material failure by the Placement Agent to provide the services as contemplated by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1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(i) issue a press release disclosing the material terms of the transactions contemplated hereby at the date and time agreed upon by the Company and the Placement Agent, and (ii) file a Current Report on Form 8-K, including the Transaction Documents as exhibits thereto, with the SEC within the time required by the Exchange Act. From and after the issuance of such press release, the Company represents that it shall have publicly disclosed all material, non-public information delivered by the Company or any of its Subsidiaries, or any of their respective officers, directors, employees, Affiliates or agents, in connection with the transactions contemplated by the Transaction Documents. The Company and the Placement Agent shall consult with each other in issuing any other press releases with respect to the transactions contemplated hereby.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3" w:name="page24"/>
    <w:bookmarkEnd w:id="23"/>
    <w:p>
      <w:pPr>
        <w:jc w:val="both"/>
        <w:ind w:firstLine="656"/>
        <w:spacing w:after="0" w:line="252" w:lineRule="auto"/>
        <w:tabs>
          <w:tab w:leader="none" w:pos="88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Services</w:t>
      </w:r>
      <w:r>
        <w:rPr>
          <w:rFonts w:ascii="Times New Roman" w:cs="Times New Roman" w:eastAsia="Times New Roman" w:hAnsi="Times New Roman"/>
          <w:sz w:val="18"/>
          <w:szCs w:val="18"/>
          <w:color w:val="auto"/>
        </w:rPr>
        <w:t>. The Company and the Placement Agent agree that for a period of eighteen (18) months from the closing date of the Offering, the Company grants the Placement Agent the right to provide investment banking services to the Company on an exclusive basis in the matters below, for which investment banking services are sought by the Company (such right, the “Right of First Refusal”), which right is exercisable in the Placement Agent’s sole discretion. For these purposes, investment banking services shall include, (a) acting as lead or joint-lead manager for any underwritten public offering; (b) acting as lead or joint book-runner and/or lead or joint placement agent, initial purchaser in connection with any private offering of securities of the Company; and (c) acting as financial advisor in connection with any sale or other transfer by the Company, directly or indirectly, of a majority or controlling portion of its capital stock or assets to another entity, any purchase or other transfer by another entity, directly or indirectly, of a majority or controlling portion of the capital stock or assets of the Company, and any merger or consolidation of the Company with another entity. The Placement Agent shall notify the Company of its intention to exercise the Right of First Refusal within 15 business days following notice in writing by the Company. Any decision by the Placement Agent to act in any such capacity shall be contained in separate agreements, which agreements would contain, among other matters, provisions for customary fees for transactions of similar size and nature, as may be mutually agreed upon, and indemnification of the Placement Agent and shall be subject to general market conditions. In compliance with FINRA Rule 5110(g)(6)(A), in no circumstances the Right of First Refusal shall have a duration of more than three years from the commencement of sales of the public offering or the termination date of the engagement between the Company and Univest. If the Placement Agent declines to exercise the Right of First Refusal, the Company shall have the right to retain any other person or persons to provide such services on terms and conditions which are not more favorable to such other person or persons than the terms declined by Univest. The Right of First Refusal granted hereunder may be terminated by the Company for "Cause," which shall mean a material breach by the Placement Agent of this Agreement or a material failure by the Placement Agent to provide the services as contemplated by this Agreement. The services provided by Univest hereunder are solely for the benefit of the Company and are not intended to confer any rights upon any persons or entities not a party hereto (including, without limitation, securityholders, employees or creditors of the Company) as against Univest or its directors, officers, agents and employees.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Section 5. Conditions of the Obligations of the Placement Agent</w:t>
      </w:r>
      <w:r>
        <w:rPr>
          <w:rFonts w:ascii="Times New Roman" w:cs="Times New Roman" w:eastAsia="Times New Roman" w:hAnsi="Times New Roman"/>
          <w:sz w:val="18"/>
          <w:szCs w:val="18"/>
          <w:color w:val="auto"/>
        </w:rPr>
        <w:t>. The obligations of the Placement Agent hereunder shall be subject to the accuracy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representations and warranties on the part of the Company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in each case as of the date hereof and as of the Closing Date as though then made, to the timely performance by each of the Company of its covenants and other obligations hereunder, and to each of the following additional conditions:</w:t>
      </w:r>
    </w:p>
    <w:p>
      <w:pPr>
        <w:spacing w:after="0" w:line="180" w:lineRule="exact"/>
        <w:rPr>
          <w:sz w:val="20"/>
          <w:szCs w:val="20"/>
          <w:color w:val="auto"/>
        </w:rPr>
      </w:pPr>
    </w:p>
    <w:p>
      <w:pPr>
        <w:ind w:left="900" w:hanging="244"/>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 No Stop Order; No Objection from FINRA</w:t>
      </w:r>
      <w:r>
        <w:rPr>
          <w:rFonts w:ascii="Times New Roman" w:cs="Times New Roman" w:eastAsia="Times New Roman" w:hAnsi="Times New Roman"/>
          <w:sz w:val="18"/>
          <w:szCs w:val="18"/>
          <w:color w:val="auto"/>
        </w:rPr>
        <w:t>. Each Prospectus (in accordance with Rule 424(b)) and Free Writing Prospectus if any, shall have been duly filed with the SEC, as appropriate; no stop order suspending the effectiveness of the Registration Statement or any part thereof shall have been issued and no Proceeding for that purpose shall have been initiated or threatened by the SEC; no order preventing or suspending the use of any Prospectus shall have been issued and no Proceeding for that purpose shall have been initiated or threatened by the SEC; no order having the effect of ceasing or suspending the distribution of the Securities or any other securities of the Company shall have been issued by any securities commission, securities regulatory authority or stock exchange and no Proceedings for that purpose shall have been instituted or shall be pending or, to the knowledge of the Company, contemplated by any securities commission, securities regulatory authority or stock exchange; all requests for additional information on the part of the SEC shall have been complied with; and FINRA shall have raised no objection to the fairness and reasonableness of the placement terms and arrangements.</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All corporate proceedings and other legal matters in connection with this Agreement, the Registration Statement and each Prospectus, and the registration, sale, and delivery of the Securities, shall have been completed or resolved in a manner reasonably satisfactory to the Placement Agent’s Counsel, and such counsel shall have been furnished with such papers and information as it may reasonably have requested to enable such counsel to pass upon the matters referred to in this Section 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ind w:firstLine="656"/>
        <w:spacing w:after="0" w:line="261" w:lineRule="auto"/>
        <w:tabs>
          <w:tab w:leader="none" w:pos="9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Subsequent to the execution and delivery of this Agreement and prior to the Closing Date, in the Placement Agent’s reasonable judgment after consultation with the Company, there shall not have occurred any material adverse change or development involving a prospective material adverse change in the condition or the business activities, financial or otherwise, of the Company from the latest dates as of which such condition is set forth in the Registration Statement and Prospectus (each,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 for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waived or indicated below, the Placement Agent shall have received on the Closing Date the written opinions from US and Chinese legal counsel to the Company, dated as of the Closing Date and addressed to the Placement Agent, including, without limitation, a negative assurance letter addressed to the Placement Agent and, in form and substance satisfactory to the Placement Agent.</w:t>
      </w:r>
    </w:p>
    <w:p>
      <w:pPr>
        <w:spacing w:after="0" w:line="176" w:lineRule="exact"/>
        <w:rPr>
          <w:sz w:val="20"/>
          <w:szCs w:val="20"/>
          <w:color w:val="auto"/>
        </w:rPr>
      </w:pPr>
    </w:p>
    <w:p>
      <w:pPr>
        <w:jc w:val="both"/>
        <w:ind w:right="20" w:firstLine="656"/>
        <w:spacing w:after="0" w:line="266" w:lineRule="auto"/>
        <w:tabs>
          <w:tab w:leader="none" w:pos="8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Placement Agent shall have received on the Closing Date, a certificate of the Company, dated as of the Closing Date and which may be relied upon by the Placement Agent, signed by the Chief Executive Officer and Chief Financial Officer of the Company, in their respective capacities as such officers only, in a form satisfactory to the Placement Agent, to the effect that: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in all material respects (except such representations and warranties which are qualified by materiality or by Material Adverse Effect, which shall be true and correct in all respects), as if made on and as of the Closing Date, and the Company has complied with all the agreements and satisfied all the conditions on its part to be performed or satisfied at or prior to the Closing Date;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0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the use of any Prospectus has been issued and no Proceedings for that purpose have been instituted or are pending or, to the Company’s knowledge, threatened under the Securities Act; no order having the effect of ceasing or suspending the distribution of the Securities or any other securities of the Company has been issued by any securities commission, securities regulatory authority or stock exchange in the United States and no Proceedings for that purpose have been instituted or are pending or, to the knowledge of the Company, contemplated by any securities commission, securities regulatory authority or stock exchange in the United States;</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62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Registration Statement became effective, at the time of sale, and at all times subsequent thereto up to the delivery of such certificate, the Registration Statement and the Incorporated Documents, if any, when such documents became effective or were filed with the SEC, and any Prospectus, contained all material information required to be included therein by the Securities Act and the Exchange Act and the applicable rules and regulations of the SEC thereunder, as the case may be, and in all material respects conformed to the requirements of the Securities Act and the Exchange Act and the applicable rules and regulations of the SEC thereunder, as the case may be, and the Registration Statement and the Incorporated Documents, if any, and any Prospectus, did not and do not include any untrue statement of a material fact or omit to state a material fact required to be stated therein or necessary to make the statements therein, in the light of the circumstances under which they were made, not misleading (provided, however, that the preceding representations and warranties contained in this paragraph (iii) shall not apply to any statements or omissions made in reliance upon and in conformity with information furnished in writing to the Company by the Placement Agent expressly for use therein) and, since the effective date of the Registration Statement, there has occurred no event required by the Securities Act and the rules and regulations of the SEC thereunder to be set forth in the Incorporated Documents which has not been so set forth;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ind w:left="660" w:firstLine="644"/>
        <w:spacing w:after="0" w:line="254" w:lineRule="auto"/>
        <w:tabs>
          <w:tab w:leader="none" w:pos="162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Registration Statement, the Incorporated Documents and any Prospectus, there has not been: (i) any Material Adverse Change; (ii) any transaction that is material to the Company and the Subsidiaries taken as a whole, except transactions entered into in the ordinary course of business; (iii) any obligation, direct or contingent, that is material to the Company and the Subsidiaries taken as a whole, incurred by the Company or any Subsidiary, except obligations incurred in the ordinary course of business; (iv) any material change in the capital stock (except changes thereto resulting from the exercise of outstanding stock options or warrants) or outstanding indebtedness of the Company or any Subsidiary; (v) any dividend or distribution of any kind declared, paid or made on the capital stock of the Company; or (vi) any loss or damage (whether or not insured) to the property of the Company or any Subsidiary which has been sustained or will have been sustained which has a Material Adverse Effect.</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Financial Officer’s Certificate</w:t>
      </w:r>
      <w:r>
        <w:rPr>
          <w:rFonts w:ascii="Times New Roman" w:cs="Times New Roman" w:eastAsia="Times New Roman" w:hAnsi="Times New Roman"/>
          <w:sz w:val="18"/>
          <w:szCs w:val="18"/>
          <w:color w:val="auto"/>
        </w:rPr>
        <w:t>. The Placement Agent shall have received on the Closing Date, a certificate of the Company, dated as of the Closing Date and which may be relied upon by the Placement Agent, signed by the Chief Financial Officer of the Company, with respect to certain financial data contained in or incorporated by reference into the Registration Statement, in a form satisfactory to the Placement Agent.</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The Placement Agent shall have received on the Closing Date, a certificate of the Company, dated as of the Closing Date and which may be relied upon by the Placement Agent, signed by the Secretary of the Company, certifying, among others, (i) that each of the Company’s Amended and Restated Certificate of Incorporation and Amendment to Amended Bylaws, and all amendments thereto, is true and complete, has not been modified and is in full force and effect; (ii) that the resolutions of the Company’s Board of Directors relating to the Offering are in full force and effect and have not been modified; (iii) that each of the Company and its Subsidiaries is in good standing under the laws of the jurisdiction of its incorporation or organization; (iv) as to the accuracy and completeness of all correspondence between the Company or its counsel and the SEC; and (v) as to the incumbency of the officers of the Company, in a form reasonably acceptable to the Placement Agent.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Registration and Stock Exchange Listing</w:t>
      </w:r>
      <w:r>
        <w:rPr>
          <w:rFonts w:ascii="Times New Roman" w:cs="Times New Roman" w:eastAsia="Times New Roman" w:hAnsi="Times New Roman"/>
          <w:sz w:val="18"/>
          <w:szCs w:val="18"/>
          <w:color w:val="auto"/>
        </w:rPr>
        <w:t>. The Common Stock shall be registered under the Exchange Act and shall be listed on the Trading Market, and the Company shall not have taken any action designed to terminate, or likely to have the effect of terminating, the registration of the Common Stock under the Exchange Act or delisting or suspending from trading the Common Stock from the Trading Market, nor shall the Company have received any information suggesting that the SEC or the Trading Market is contemplating terminating such registration or listing.</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On or before the Closing Date, the Placement Agent and Placement Agent’s Counsel shall have received such information and documents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If any condition specified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is not satisfied when and as required to be satisfied, this Agreement may be terminated by the Placement Agent by notice to the Company at any time on or prior to the Closing Date, which termination shall be without liability on the part of any party to any other party, except that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(Indemnification and Contribution)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(Representations and Indemnities to Survive Delivery) shall at all times be effective and shall survive such termination.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Section 6. Payment of Fees and Expenses</w:t>
      </w:r>
      <w:r>
        <w:rPr>
          <w:rFonts w:ascii="Times New Roman" w:cs="Times New Roman" w:eastAsia="Times New Roman" w:hAnsi="Times New Roman"/>
          <w:sz w:val="18"/>
          <w:szCs w:val="18"/>
          <w:color w:val="auto"/>
        </w:rPr>
        <w:t>. Subject to compliance with FINRA Rule 5110(f)(2)(D), the Company agrees to pay all costs, fees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incurred by the Company in connection with the performance of its obligations hereunder and in connection with the transactions contemplated hereby, including, without limitation: (i) payment to the Placement Agent of its Cash Fee and non-accountable expense allowance (ii) all expenses incident to the issuance, delivery and qualification of the Securities (including all printing and engraving costs); (iii) all fees and expenses of the registrar and transfer agent of the Common Stock; (iv) all necessary issue, transfer and other stamp taxes in connection with the issuance and sale of the Securities; (v) all fees and expenses of the Company’s counsel, registered independent public accounting firm and other advisors; (vi) all costs and expenses incurred in connection with the preparation, printing, filing, shipping and distribution of the Registration Statement (including financial statements, exhibits, schedules, consents and certificates of experts), the Prospectus and the Prospectus Supplement, if any, and all amendments and supplements thereto, and this Agreement; (vii) all filing fees, reasonable attorneys’ fees and expenses incurred by the Company in connection with qualifying or registering (or obtaining exemptions from the qualification or registration of) all or any part of the Securities for offer and sale under the state securities or blue sky laws or the securities laws of any other country; (viii) the filing fees incident to the review and approval by FINRA of the Placement Agent’s participation in the offering and distribution of the Securities; (ix) the fees and expenses associated with the Securities on the Trading Market; (x) all costs and expenses incident to the travel and accommodation of the Company’s employees on the “roadshow,” if 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Indemnification and Contribution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2" w:lineRule="auto"/>
        <w:tabs>
          <w:tab w:leader="none" w:pos="8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Placement Agent, its Affiliates and each Person controlling the Placement Agent, and the directors, officers, agents and employees of the Placement Agent, their respective affiliates and each such controlling person (the Placement Agent, and each such entity or person,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losses, claims, damages, judgments, assessments, costs and other liabilities (collectively, the “</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and shall reimburse each Indemnified Person for all fees and expenses (including the reasonable fees and expenses of one counsel for all Indemnified Persons, except as otherwise expressly provided herein) (collectively, the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xml:space="preserve">”) as they are incurred by an Indemnified Person in investigating, preparing, pursuing or defending any Proceedings, whether or not any Indemnified Person is a party thereto, (i) caused by, or arising out of or in connection with, any untrue statement or alleged untrue statement of a material fact contained in the Registration Statement, any Incorporated Document, or any Prospectus or by any omission or alleged omission to state therein a material fact necessary to make the statements therein, in light of the circumstances under which they were made, not misleading (other than untrue statements or alleged untrue statements in, or omissions or alleged omissions from, information relating to an Indemnified Person furnished in writing by or on behalf of such Indemnified Person expressly for use in the Registration Statement, any Incorporated Document, or any Prospectus) or (ii) otherwise arising out of or in connection with advice or services rendered or to be rendered by any Indemnified Person pursuant to this Agreement, the transactions contemplated thereby or any Indemnified Person’s actions or inactions in connection with any such advice, services or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 (ii) only, the Company shall not be responsible for any Liabilities or Expenses of any Indemnified Person that are finally judicially determined to have resulted solely from such Indemnified Person’s (x) gross negligence or willful misconduct in connection with any of the advice, actions, inactions or services referred to above or (y) use of any offering materials or information concerning the Company in connection with the offer or sale of the Securities in the Offering which were not authorized for such use by the Company and which use constitutes gross negligence or willful misconduct. The Company also agrees to reimburse each Indemnified Person for all Expenses as they are incurred in connection with enforcing such Indemnified Person’s rights under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both"/>
        <w:ind w:firstLine="656"/>
        <w:spacing w:after="0" w:line="252" w:lineRule="auto"/>
        <w:tabs>
          <w:tab w:leader="none" w:pos="9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an Indemnified Person of actual notice of an Proceeding against such Indemnified Person with respect to which indemnity may be sought under this Agreement, such Indemnified Person shall promptly notify the Company in writing; provided that failure by any Indemnified Person so to notify the Company shall not relieve the Company from any liability which the Company may have on account of this indemnity or otherwise to such Indemnified Person, except to the extent the Company shall have been prejudiced by such failure. The Company shall, if requested by the Placement Agent, assume the defense of any such Proceeding including the employment of counsel reasonably satisfactory to the Placement Agent, which counsel may also be counsel to the Company.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counsel or (ii) the named parties to any such Proceeding (including any impeded parties) include such Indemnified Person and the Company, and such Indemnified Person shall have been advised in the reasonable opinion of counsel that there is an actual conflict of interest that prevents the counsel selected by the Company from representing both the Company (or another client of such counsel) and any Indemnified Person; provided that the Company shall not in such event be responsible hereunder for the fees and expenses of more than one firm of separate counsel for all Indemnified Persons in connection with any Proceeding or related Proceedings, in addition to any local counsel. The Company shall not be liable for any settlement of any Proceeding effected without its written consent (which shall not be unreasonably withheld). In addition, the Company shall not, without the prior written consent of the Indemnified Person (which shall not be unreasonably withheld), settle, compromise or consent to the entry of any judgment in or otherwise seek to terminate any pending or threatened Proceeding in respect of which indemnification or contribution may be sought hereunder (whether or not such Indemnified Person is a party thereto) unless such settlement, compromise, consent or termination includes an unconditional release of each Indemnified Person from all Liabilities arising out of such Proceeding for which indemnification or contribution may be sought hereunder. The indemnification required hereby shall be made by periodic payments of the amount thereof during the course of the investigation or defense, as such expense, loss, damage or liability is incurred and is due and payable.</w:t>
      </w:r>
    </w:p>
    <w:p>
      <w:pPr>
        <w:spacing w:after="0" w:line="190" w:lineRule="exact"/>
        <w:rPr>
          <w:rFonts w:ascii="Times New Roman" w:cs="Times New Roman" w:eastAsia="Times New Roman" w:hAnsi="Times New Roman"/>
          <w:sz w:val="18"/>
          <w:szCs w:val="18"/>
          <w:color w:val="auto"/>
        </w:rPr>
      </w:pPr>
    </w:p>
    <w:p>
      <w:pPr>
        <w:jc w:val="both"/>
        <w:ind w:firstLine="656"/>
        <w:spacing w:after="0" w:line="253" w:lineRule="auto"/>
        <w:tabs>
          <w:tab w:leader="none" w:pos="89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foregoing indemnity is unavailable to an Indemnified Person other than in accordance with this Agreement, the Company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fees actually received by the Placement Agent pursuant to this Agreement. For purposes of this paragraph, the relative benefits to the Company, on the one hand, and to the Placement Agent on the other hand, of the matters contemplated by this Agreement shall be deemed to be in the same proportion as (a) the total value paid or contemplated to be paid to or received or contemplated to be received by the Company in the transaction or transactions that are within the scope of this Agreement, whether or not any such transaction is consummated, bears to (b) the fees paid to the Placement Agent under this Agreement. Notwithstanding the above, no person guilty of fraudulent misrepresentation within the meaning of Section 11(f) of the Securities Act, as amended, shall be entitled to contribution from a party who was not guilty of fraudulent misrepresentation.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for Liabilities (and related Expenses) of the Company that are finally judicially determined to have resulted solely from such Indemnified Person’s gross negligence or willful misconduct in connection with any such advice, actions, inactions or services.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ind w:firstLine="656"/>
        <w:spacing w:after="0" w:line="266" w:lineRule="auto"/>
        <w:tabs>
          <w:tab w:leader="none" w:pos="8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indemnity and contribution obligations of the Company set forth herein shall apply to any modification of this Agreement and shall remain in full force and effect regardless of any termination of, or the completion of any Indemnified Person’s services under or in connection with, this Agreement.</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Section 8. Representations and Indemnities to Survive Delivery</w:t>
      </w:r>
      <w:r>
        <w:rPr>
          <w:rFonts w:ascii="Times New Roman" w:cs="Times New Roman" w:eastAsia="Times New Roman" w:hAnsi="Times New Roman"/>
          <w:sz w:val="18"/>
          <w:szCs w:val="18"/>
          <w:color w:val="auto"/>
        </w:rPr>
        <w:t>. The respective indemnities, agreements, representations, warranties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the Company or any person controlling the Company, of its officers, and of the Placement Agent set forth in or made pursuant to this Agreement will remain in full force and effect, regardless of any investigation made by or on behalf of the Placement Agent, the Company, or any of its or their partners, officers or directors or any controlling person, as the case may be, and will survive delivery of and payment for the Securities sold hereunder and any termination of this Agreement. A successor to the Placement Agent, or to the Company, its directors or officers or any person controlling the Company, shall be entitled to the benefits of the indemnity, contribution and reimbursement agreements contained in this Agreement.</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Section 9. Notices</w:t>
      </w:r>
      <w:r>
        <w:rPr>
          <w:rFonts w:ascii="Times New Roman" w:cs="Times New Roman" w:eastAsia="Times New Roman" w:hAnsi="Times New Roman"/>
          <w:sz w:val="18"/>
          <w:szCs w:val="18"/>
          <w:color w:val="auto"/>
        </w:rPr>
        <w:t>. All communications hereunder shall be in writing and shall be overnight, next business day delivery, hand delivered or e-mailed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confirmed to the parties hereto as follows: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Placement Agent to the address set forth above, attention: Yi (Edric) Guo, Chief Executive Officer, e-mail: yguo@univest.us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GD Culture Group Limited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 Town Square Place, Suite #1203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Jersey City, NJ 07310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Xiaojian Wang,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awang@gdculturegroup.com</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McLaughlin &amp; Stern,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260 Madison Ave., 18th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Zhaocong “Richard” Xu, Esq.</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RXu@mclaughlinstern.com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Section 10. Successors</w:t>
      </w:r>
      <w:r>
        <w:rPr>
          <w:rFonts w:ascii="Times New Roman" w:cs="Times New Roman" w:eastAsia="Times New Roman" w:hAnsi="Times New Roman"/>
          <w:sz w:val="18"/>
          <w:szCs w:val="18"/>
          <w:color w:val="auto"/>
        </w:rPr>
        <w:t>. This Agreement will inure to the benefit of and be binding upon the parties hereto, and to the benefit of the employees,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directors and controlling persons referred to in Section 7 hereof, and to their respective successors, and personal representative, and no other person will have any right or obligation hereunder.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Section 11. 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Section 12. Governing Law Provisions; Exclusive Jurisdiction</w:t>
      </w:r>
      <w:r>
        <w:rPr>
          <w:rFonts w:ascii="Times New Roman" w:cs="Times New Roman" w:eastAsia="Times New Roman" w:hAnsi="Times New Roman"/>
          <w:sz w:val="18"/>
          <w:szCs w:val="18"/>
          <w:color w:val="auto"/>
        </w:rPr>
        <w:t>. This Agreement and the transactions contemplated hereby shall be governed 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interpretation, construction, effect and in all other respects by the internal laws of the State of New York without regard to the conflict of laws principles thereof. Each of the Placement Agent and the Company: (i) agrees that any legal suit, action or Proceeding arising out of or relating to this Agreement and/or the transactions contemplated hereby shall be instituted exclusively in the New York Supreme Court, County of New York, or in the United States District Court for the Southern District of New York, (ii) waives any objection which it may have or hereafter to the venue of any such suit, action or Proceeding, and (iii) irrevocably consents to the jurisdiction of the New York Supreme Court, County of New York, and the United States District Court for the Southern District of New York in any such suit, action or Proceeding. Each of the Placement Agent and the Company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Placement Agent mailed by certified mail to the Placement Agent’s address shall be deemed in every respect effective service process upon the Placement Agent, in any such suit, action or Proceeding.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General Provisions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9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Section headings herein are for the convenience of the parties only and shall not affect the construction or interpretation of this Agreement. If any provision contained in this Agreement is in conflict with, or inconsistent with, any provision in that certain Securities Purchase Agreement dated as of June 24, 2026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by and between the Company and the purchasers listed on the signature page thereto, the terms of the Securities Purchase Agreement shall govern and control.</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in connection with the Offering of the Securities: (i) the Placement Agent has acted at arm’s length, is not an agent of, and owes no fiduciary duties to the Company or any other person, (ii) the Placement Agent owes the Company only those duties and obligations set forth in this Agreement and (iii) the Placement Agent may have interests that differ from those of the Company. The Company waives to the full extent permitted by applicable law any claims it may have against the Placement Agent arising from an alleged breach of fiduciary duty in connection with the offering of the Securities.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below whereupon this instrument, along with all counterparts hereof, shall become a binding agreement in accordance with its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Xiaojian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Xiaojian Wang</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Univest Securities,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 (Edric) Guo</w:t>
            </w:r>
          </w:p>
        </w:tc>
        <w:tc>
          <w:tcPr>
            <w:tcW w:w="6740" w:type="dxa"/>
            <w:vAlign w:val="bottom"/>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Yi (Edric) Guo</w:t>
            </w:r>
          </w:p>
        </w:tc>
        <w:tc>
          <w:tcPr>
            <w:tcW w:w="67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740" w:type="dxa"/>
            <w:vAlign w:val="bottom"/>
          </w:tcPr>
          <w:p>
            <w:pPr>
              <w:spacing w:after="0"/>
              <w:rPr>
                <w:sz w:val="20"/>
                <w:szCs w:val="20"/>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aughlin</w:t>
      </w:r>
      <w:r>
        <w:rPr>
          <w:rFonts w:ascii="Times New Roman" w:cs="Times New Roman" w:eastAsia="Times New Roman" w:hAnsi="Times New Roman"/>
          <w:sz w:val="18"/>
          <w:szCs w:val="18"/>
          <w:b w:val="1"/>
          <w:bCs w:val="1"/>
          <w:color w:val="auto"/>
        </w:rPr>
        <w:t xml:space="preserve"> &amp; S</w:t>
      </w:r>
      <w:r>
        <w:rPr>
          <w:rFonts w:ascii="Times New Roman" w:cs="Times New Roman" w:eastAsia="Times New Roman" w:hAnsi="Times New Roman"/>
          <w:sz w:val="12"/>
          <w:szCs w:val="12"/>
          <w:b w:val="1"/>
          <w:bCs w:val="1"/>
          <w:color w:val="auto"/>
        </w:rPr>
        <w:t>tern</w:t>
      </w:r>
      <w:r>
        <w:rPr>
          <w:rFonts w:ascii="Times New Roman" w:cs="Times New Roman" w:eastAsia="Times New Roman" w:hAnsi="Times New Roman"/>
          <w:sz w:val="18"/>
          <w:szCs w:val="18"/>
          <w:b w:val="1"/>
          <w:bCs w:val="1"/>
          <w:color w:val="auto"/>
        </w:rPr>
        <w:t>, LLP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ounded</w:t>
      </w:r>
      <w:r>
        <w:rPr>
          <w:rFonts w:ascii="Times New Roman" w:cs="Times New Roman" w:eastAsia="Times New Roman" w:hAnsi="Times New Roman"/>
          <w:sz w:val="18"/>
          <w:szCs w:val="18"/>
          <w:b w:val="1"/>
          <w:bCs w:val="1"/>
          <w:color w:val="auto"/>
        </w:rPr>
        <w:t xml:space="preserve"> 1898</w:t>
      </w:r>
    </w:p>
    <w:p>
      <w:pPr>
        <w:spacing w:after="0" w:line="2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STEVEN W. SCHUSTER</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Partner</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260 M</w:t>
            </w:r>
            <w:r>
              <w:rPr>
                <w:rFonts w:ascii="Times New Roman" w:cs="Times New Roman" w:eastAsia="Times New Roman" w:hAnsi="Times New Roman"/>
                <w:sz w:val="12"/>
                <w:szCs w:val="12"/>
                <w:color w:val="auto"/>
              </w:rPr>
              <w:t>adison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venue</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sschsuter@mclaughlinstern.com</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xml:space="preserve"> 10016</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illbrook</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(212) 448-6216</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 448–1100</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arden city</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0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RICHARD XU</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ax</w:t>
            </w:r>
            <w:r>
              <w:rPr>
                <w:rFonts w:ascii="Times New Roman" w:cs="Times New Roman" w:eastAsia="Times New Roman" w:hAnsi="Times New Roman"/>
                <w:sz w:val="18"/>
                <w:szCs w:val="18"/>
                <w:color w:val="auto"/>
              </w:rPr>
              <w:t xml:space="preserve"> (212) 448–0066</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estport</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onnecticut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00" w:type="dxa"/>
            <w:vAlign w:val="bottom"/>
            <w:vMerge w:val="continue"/>
          </w:tcPr>
          <w:p>
            <w:pPr>
              <w:spacing w:after="0"/>
              <w:rPr>
                <w:sz w:val="18"/>
                <w:szCs w:val="18"/>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www.mclaughlinstern.com</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est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alm</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each</w:t>
            </w:r>
            <w:r>
              <w:rPr>
                <w:rFonts w:ascii="Times New Roman" w:cs="Times New Roman" w:eastAsia="Times New Roman" w:hAnsi="Times New Roman"/>
                <w:sz w:val="18"/>
                <w:szCs w:val="18"/>
                <w:color w:val="auto"/>
              </w:rPr>
              <w:t>, F</w:t>
            </w:r>
            <w:r>
              <w:rPr>
                <w:rFonts w:ascii="Times New Roman" w:cs="Times New Roman" w:eastAsia="Times New Roman" w:hAnsi="Times New Roman"/>
                <w:sz w:val="12"/>
                <w:szCs w:val="12"/>
                <w:color w:val="auto"/>
              </w:rPr>
              <w:t>lorida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Partner</w:t>
            </w:r>
          </w:p>
        </w:tc>
        <w:tc>
          <w:tcPr>
            <w:tcW w:w="37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estfield</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2"/>
                <w:szCs w:val="12"/>
                <w:color w:val="auto"/>
              </w:rPr>
              <w:t>ersey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RXu@mclaughlinstern.com</w:t>
            </w:r>
          </w:p>
        </w:tc>
        <w:tc>
          <w:tcPr>
            <w:tcW w:w="37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(212) 448-6233</w:t>
            </w:r>
          </w:p>
        </w:tc>
        <w:tc>
          <w:tcPr>
            <w:tcW w:w="37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60" w:type="dxa"/>
            <w:vAlign w:val="bottom"/>
          </w:tcPr>
          <w:p>
            <w:pPr>
              <w:ind w:left="2660"/>
              <w:spacing w:after="0"/>
              <w:rPr>
                <w:sz w:val="20"/>
                <w:szCs w:val="20"/>
                <w:color w:val="auto"/>
              </w:rPr>
            </w:pPr>
            <w:r>
              <w:rPr>
                <w:rFonts w:ascii="Times New Roman" w:cs="Times New Roman" w:eastAsia="Times New Roman" w:hAnsi="Times New Roman"/>
                <w:sz w:val="18"/>
                <w:szCs w:val="18"/>
                <w:color w:val="auto"/>
                <w:w w:val="97"/>
              </w:rPr>
              <w:t>June 24, 2026</w:t>
            </w:r>
          </w:p>
        </w:tc>
        <w:tc>
          <w:tcPr>
            <w:tcW w:w="0" w:type="dxa"/>
            <w:vAlign w:val="bottom"/>
          </w:tcPr>
          <w:p>
            <w:pPr>
              <w:spacing w:after="0"/>
              <w:rPr>
                <w:sz w:val="1"/>
                <w:szCs w:val="1"/>
                <w:color w:val="auto"/>
              </w:rPr>
            </w:pPr>
          </w:p>
        </w:tc>
      </w:tr>
      <w:tr>
        <w:trPr>
          <w:trHeight w:val="41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GD Culture Group Limited</w:t>
            </w:r>
          </w:p>
        </w:tc>
        <w:tc>
          <w:tcPr>
            <w:tcW w:w="3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 Town Square Place, Suite #1203</w:t>
            </w:r>
          </w:p>
        </w:tc>
        <w:tc>
          <w:tcPr>
            <w:tcW w:w="37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Jersey City, NJ 07310</w:t>
            </w:r>
          </w:p>
        </w:tc>
        <w:tc>
          <w:tcPr>
            <w:tcW w:w="37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GD Culture Group Limited</w:t>
            </w:r>
          </w:p>
        </w:tc>
        <w:tc>
          <w:tcPr>
            <w:tcW w:w="3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acting as counsel to GD Culture Group Limited, a Nevada corporation (the “Company”), in connection with the issuance and sale of an aggregate of 259,301,306 shares of common stock, par value US$0.0001 per share (the “Common Stock”) of the Company (the “Shares”), pursuant to a Securities Purchase Agreement, dated as of June 24, 2026, between the Company and certain purchasers named therein (the “Purchasers”) in an amount identified on the signature pages thereto (the “Purchase Agreement”). The Shares are collectively referred to herein as the “Securities.” The Company and Univest Securities, LLC (the “Placement Agent”) have also entered into a placement agency agreement, dated June 24, 2026 (the “Placement Agency Agreement”).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registered the sale of the Securities to be issued and sold pursuant to the Placement Agency Agreement, and the Purchase Agreement by means of a prospectus supplement filed with the U.S. Securities and Exchange Commission (the “SEC”) on June 24, 2026 (the “Prospectus Supplement”), related to a registration statement (the “Registration Statement”) on Form S-3 (File No. 333-292934) under the Securities Act of 1933, as amended (the “Securities Act”), initially filed with the U.S. Securities and Exchange Commission (the “SEC”) on January 26, 2026 and became effective on March 18, 2026, including the base prospectus (the “Base Prospectus”). All capitalized terms used herein and not expressly defined herein have the definitions specified in the Placement Agency Agreement and the Purchase Agreement, as applicable.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issuance and sale of the Securities, we have reviewed and relied upon, without independent verification, such matters and documents, and the representations contained therein, as we have deemed necessary to render the opinions set forth below. Such documents include, without limitation:</w:t>
      </w:r>
    </w:p>
    <w:p>
      <w:pPr>
        <w:spacing w:after="0" w:line="17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of the Board of Directors of the Company (the “Board”), dated June 23, 2026 approving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c</w:t>
      </w: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aughlin</w:t>
      </w:r>
      <w:r>
        <w:rPr>
          <w:rFonts w:ascii="Times New Roman" w:cs="Times New Roman" w:eastAsia="Times New Roman" w:hAnsi="Times New Roman"/>
          <w:sz w:val="18"/>
          <w:szCs w:val="18"/>
          <w:color w:val="auto"/>
        </w:rPr>
        <w:t xml:space="preserve"> &amp; S</w:t>
      </w:r>
      <w:r>
        <w:rPr>
          <w:rFonts w:ascii="Times New Roman" w:cs="Times New Roman" w:eastAsia="Times New Roman" w:hAnsi="Times New Roman"/>
          <w:sz w:val="12"/>
          <w:szCs w:val="12"/>
          <w:color w:val="auto"/>
        </w:rPr>
        <w:t>tern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LLP</w:t>
      </w:r>
    </w:p>
    <w:p>
      <w:pPr>
        <w:spacing w:after="0" w:line="227"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Incorporation and Bylaws of the Company as amended through the date 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including schedules and exhibits thereto;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Agency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filings on the SEC’s website via EDGAR and which are incorporated by reference in the Registration Statement;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certificates, statutes, records and other documents as we have deemed relevant.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assume that there exists no provision of any document other than those we have reviewed that bears upon or is inconsistent with this opinion. In addition, we have not conducted any independent factual investigation of our own, but rather have relied solely upon the foregoing documents furnished for our review as listed above, the statements of facts and factual information set forth in said documents, and the additional matters recited or assumed herein, all of which we assume to be true, complete and accurate in all material respects.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this opinion we have relied upon and assumed the accuracy of the foregoing and the facts set forth in the foregoing documents. We have assumed: (i) the validity and accuracy of the documents and corporate records that we have examined, (ii) the genuineness of all signatures, (iii) the legal capacity of all natural persons, (iv) the authenticity of all documents submitted to us as originals, (v) the conformity to original documents of all documents submitted to us as certified or photostatic copies, and (vi) the authenticity of the originals of such documents. As to any facts material to the opinion expressed herein that we did not independently establish or verify, we have relied upon statements and representations of officers and other representatives of the Company and have assumed that such statements and representations are true, correct and complete without regard to any qualification as to knowledge or belief. Our opinion is conditioned upon, among other things, the initial and continuing truth, accuracy, and completeness of the items described above on which we are relying.</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members of the Bar of New York and do not express any opinion as to matters governed by any laws other than the internal laws of the State of New York, and the federal laws of the United States. However, for the limited purposes of our opinions set forth above, we are generally familiar with the General Company Law of the State of Nevada and have made such inquiries as we consider necessary to render this opinion with respect to a Nevada corporation. This opinion is limited to the Nevada Revised Statutes and all applicable provisions of reported judicial decisions interpreting these laws. We express no opinion concerning any matters respecting or affected by any laws other than laws that a lawyer in New York exercising customary professional diligence would reasonably recognize as being directly applicable to the transactions contemplated by the Placement Agency Agreement, the Purchase Agreement, and all exhibits and schedules thereto (collectively, the “Transaction Documents”). When any opinion is given herein with respect to an issue where any law other than the laws of the State of New York may apply, the opinion assumes that consideration of the laws of such jurisdiction would lead to the same result as consideration of the laws of the State of New York. For purposes of our opinions, we have assumed that the Transaction Documents are governed exclusively by the internal, substantive laws and judicial interpretations of the State of New York. We express no opinion as to any county, municipal, city, town or village ordinance, rule, regulation or administrative decision. We express no opinion with respect to agreements to submit to the jurisdiction of any particular court or other governmental authority (either as to personal jurisdiction or subject matter jurisdiction); waiver of service or process requirements, which would otherwise be applicable; and provisions otherwise relating to jurisdiction, service of process or venue of courts.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 Garden City, NY | Millbrook, NY | Westfield, NJ | Westport, CT | West Palm Beach, FL | Naples, FL | Sarasota, FL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Securities are duly authorized, and when issued, delivered and paid for as contemplated by the terms of the Transaction Documents and in the manner described in the Registration Statement, the Base Prospectus and the Prospectus Supplement, will be validly issued, fully paid and non-assessable.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Exhibit 5.1 to the Registration Statement and further consent to the use of our name wherever appearing in the Registration Statement. In giving such consent, we do not hereby admit that we are within the category of persons whose consent is required under Section 7 of the Securities Act of 1933, as amended, or the rules and regulations thereunder.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opinion contained herein is solely for the information and may not be used, circulated, quoted, relied upon or otherwise referred to (a) for any purpose other than in connection with the Registration Statement, the Base Prospectus and the Prospectus Supplement, or (b) any other person or entity. Our opinion is rendered and is based upon the law and facts as of the date hereof, and we assume no obligation to update such opinion to reflect any facts or circumstances that may hereafter come to our attention or any changes in the law that may thereafter occur.</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McLaughlin &amp; Stern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McLaughlin &amp; Stern LLP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 Garden City, NY | Millbrook, NY | Westfield, NJ | Westport, CT | West Palm Beach, FL | Naples, FL | Sarasota, FL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left="10320"/>
        <w:spacing w:after="0"/>
        <w:rPr>
          <w:sz w:val="20"/>
          <w:szCs w:val="20"/>
          <w:color w:val="auto"/>
        </w:rPr>
      </w:pPr>
      <w:r>
        <w:rPr>
          <w:rFonts w:ascii="Times New Roman" w:cs="Times New Roman" w:eastAsia="Times New Roman" w:hAnsi="Times New Roman"/>
          <w:sz w:val="17"/>
          <w:szCs w:val="17"/>
          <w:color w:val="auto"/>
        </w:rPr>
        <w:t>E</w:t>
      </w:r>
      <w:r>
        <w:rPr>
          <w:rFonts w:ascii="Times New Roman" w:cs="Times New Roman" w:eastAsia="Times New Roman" w:hAnsi="Times New Roman"/>
          <w:sz w:val="17"/>
          <w:szCs w:val="17"/>
          <w:b w:val="1"/>
          <w:bCs w:val="1"/>
          <w:color w:val="auto"/>
        </w:rPr>
        <w:t>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June 24, 2026, between GD Culture Group Limited,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date hereof (or the first Trading Day following the date hereof if this Agreement is signed on a day that is not a Trading Day or after 4:00 p.m. (New York City time) and before midnight (New York City time) on a Trading Day).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McLaughlin &amp; Stern, LLP, with offices located at 260 Madison Ave., 18th Floor, New York, NY 10016.</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$0.021,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Univest Securities, LLC.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to the Company’s knowledge, threatened against the Company before any court, governmental agency or regulatory authority.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on Form S-3 with Commission file No. 333-292934 which registers the sale of the Shares to the Purchasers, and includes any Rule 462(b) Registration Statement.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7" w:name="page38"/>
    <w:bookmarkEnd w:id="3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means any registration statement prepared by the Company registering additional Securities, which was filed with the Commission on or prior to the date hereof and became automatically effective pursuant to Rule 462(b) promulgated by the Commission pursuant to the Securities Act.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direct and indirect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Pink Limited Market, OTCQB OTCQX or the OTCID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Transhare Corporation with the address at Bayside Center 1,17755 US Highway 19 N, Suite 140, Clearwater FL 33764, and any successor transfer agent of the Company.</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an aggregate of $5,445,327.426 of Shares. Each Purchaser’s Subscription Amount as set forth on the signature page hereto executed by such Purchaser shall be made available for “Delivery Versus Payment” settlement with the Company or its designee. The Company shall deliver to each Purchaser its respective Shares, and the Company and each Purchaser shall deliver the other items set forth in Section 2.2 deliverable at the Closing. Upon satisfaction of the covenants and conditions set forth in Sections 2.2 and 2.3, the Closing shall occur take place remotely by electronic transfer of the Closing documentation or such other location as the parties shall mutually agree. Unless otherwise directed by the Placement Agent, settlement of the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4"/>
        <w:spacing w:after="0" w:line="282" w:lineRule="auto"/>
        <w:tabs>
          <w:tab w:leader="none" w:pos="1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otherwise waived or indicated below), the Company shall deliver or cause to be delivered to each Purchaser the following:</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2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opinion of Company Counsel directed to the Placement Agent and the Purchasers, in a form reasonably acceptable to the Placement Agent and the Purchasers;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8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Section 2.1, the Company shall have provided each Purchaser with the Company’s wire instructions, on Company letterhead and executed by the Chief Executive Officer or Chief Financial Officer;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ind w:left="640" w:firstLine="652"/>
        <w:spacing w:after="0" w:line="282" w:lineRule="auto"/>
        <w:tabs>
          <w:tab w:leader="none" w:pos="160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the Company’s Chief Financial Officer of the Company, dated as of the date of Closing, in form and substance reasonable acceptable to the Purchasers and Placement Agent;</w:t>
      </w:r>
    </w:p>
    <w:p>
      <w:pPr>
        <w:spacing w:after="0" w:line="161"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4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Secretary’s certificate executed by the secretary or an officer of the Company, dated as of the date of Closing, certifying to the organizational documents of the Company, good standing in the jurisdiction of formation of the Company and board resolutions authorizing the offering of the Shares, in form and substance reasonable acceptable to the Purchasers and Placement Agent;</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56" w:lineRule="auto"/>
        <w:tabs>
          <w:tab w:leader="none" w:pos="159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signed by the chief executive officer of the Company, dated, as applicable, as of the date of such Closing, to the effect that, as of the date of this Agreement and as of the Closing Date, the representations and warranties of the Company contained herein and in the Purchase Agreement were and are accurate in all material respects, except for such changes as are contemplated by this Agreement and except as to representations and warranties that were expressly limited to a state of facts existing at a time prior to the applicable Closing Date, and that, as of the applicable date, the obligations to be performed by the Company hereunder on or prior thereto have been fully performed in all material respects; and</w:t>
      </w:r>
    </w:p>
    <w:p>
      <w:pPr>
        <w:spacing w:after="0" w:line="187" w:lineRule="exact"/>
        <w:rPr>
          <w:rFonts w:ascii="Times New Roman" w:cs="Times New Roman" w:eastAsia="Times New Roman" w:hAnsi="Times New Roman"/>
          <w:sz w:val="18"/>
          <w:szCs w:val="18"/>
          <w:color w:val="auto"/>
        </w:rPr>
      </w:pPr>
    </w:p>
    <w:p>
      <w:pPr>
        <w:ind w:left="1640" w:hanging="348"/>
        <w:spacing w:after="0"/>
        <w:tabs>
          <w:tab w:leader="none" w:pos="1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56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0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6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40" w:name="page41"/>
    <w:bookmarkEnd w:id="40"/>
    <w:p>
      <w:pPr>
        <w:ind w:left="2260" w:hanging="308"/>
        <w:spacing w:after="0"/>
        <w:tabs>
          <w:tab w:leader="none" w:pos="22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1300" w:firstLine="652"/>
        <w:spacing w:after="0" w:line="261" w:lineRule="auto"/>
        <w:tabs>
          <w:tab w:leader="none" w:pos="21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21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makes the following representations and warranties to each Purchaser as of the date hereof (unless as of a specific date therein, in which case they shall be accurate as of such date):</w:t>
      </w:r>
    </w:p>
    <w:p>
      <w:pPr>
        <w:spacing w:after="0" w:line="162" w:lineRule="exact"/>
        <w:rPr>
          <w:sz w:val="20"/>
          <w:szCs w:val="20"/>
          <w:color w:val="auto"/>
        </w:rPr>
      </w:pPr>
    </w:p>
    <w:p>
      <w:pPr>
        <w:jc w:val="both"/>
        <w:ind w:left="660" w:firstLine="644"/>
        <w:spacing w:after="0" w:line="258" w:lineRule="auto"/>
        <w:tabs>
          <w:tab w:leader="none" w:pos="156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(as defined below).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ind w:left="-460" w:firstLine="644"/>
        <w:spacing w:after="0" w:line="252" w:lineRule="auto"/>
        <w:tabs>
          <w:tab w:leader="none" w:pos="4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if applicable under the laws of the jurisdiction in which they are formed,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provided that a change in market price or trading volume of the Common Stock alone shall not be deemed, in and of itself, to constitute a Material Adverse Effect, and no Proceeding has been instituted in any such jurisdiction revoking, limiting or curtailing or seeking to revoke, limit or curtail such power and authority or qualification.</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2" w:name="page43"/>
    <w:bookmarkEnd w:id="42"/>
    <w:p>
      <w:pPr>
        <w:jc w:val="both"/>
        <w:ind w:left="-460" w:firstLine="644"/>
        <w:spacing w:after="0" w:line="253" w:lineRule="auto"/>
        <w:tabs>
          <w:tab w:leader="none" w:pos="4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March 18,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200" w:lineRule="exact"/>
        <w:rPr>
          <w:sz w:val="20"/>
          <w:szCs w:val="20"/>
          <w:color w:val="auto"/>
        </w:rPr>
      </w:pP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3" w:name="page44"/>
    <w:bookmarkEnd w:id="43"/>
    <w:p>
      <w:pPr>
        <w:jc w:val="both"/>
        <w:ind w:left="-460" w:firstLine="644"/>
        <w:spacing w:after="0" w:line="251" w:lineRule="auto"/>
        <w:tabs>
          <w:tab w:leader="none" w:pos="4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as applicable,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 except for the Required Approvals.</w:t>
      </w:r>
    </w:p>
    <w:p>
      <w:pPr>
        <w:spacing w:after="0" w:line="20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4" w:name="page45"/>
    <w:bookmarkEnd w:id="44"/>
    <w:p>
      <w:pPr>
        <w:jc w:val="both"/>
        <w:ind w:left="-460" w:firstLine="644"/>
        <w:spacing w:after="0" w:line="252" w:lineRule="auto"/>
        <w:tabs>
          <w:tab w:leader="none" w:pos="4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set forth disclosed in a subsequent SEC Report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Except as disclosed in the SEC Reports,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set forth in the SEC Reports,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which could have or reasonably be expected to result in a Material Adverse Effect.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5" w:name="page46"/>
    <w:bookmarkEnd w:id="45"/>
    <w:p>
      <w:pPr>
        <w:jc w:val="both"/>
        <w:ind w:left="-460" w:firstLine="644"/>
        <w:spacing w:after="0" w:line="254" w:lineRule="auto"/>
        <w:tabs>
          <w:tab w:leader="none" w:pos="4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applicable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applicable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4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6" w:name="page47"/>
    <w:bookmarkEnd w:id="46"/>
    <w:p>
      <w:pPr>
        <w:jc w:val="both"/>
        <w:ind w:left="-460" w:firstLine="644"/>
        <w:spacing w:after="0" w:line="253" w:lineRule="auto"/>
        <w:tabs>
          <w:tab w:leader="none" w:pos="45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commercially reasonable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1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7" w:name="page48"/>
    <w:bookmarkEnd w:id="47"/>
    <w:p>
      <w:pPr>
        <w:jc w:val="both"/>
        <w:ind w:left="-460" w:firstLine="644"/>
        <w:spacing w:after="0" w:line="252" w:lineRule="auto"/>
        <w:tabs>
          <w:tab w:leader="none" w:pos="4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in all material respects. Except as disclosed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8" w:name="page49"/>
    <w:bookmarkEnd w:id="48"/>
    <w:p>
      <w:pPr>
        <w:jc w:val="both"/>
        <w:ind w:left="-460" w:firstLine="644"/>
        <w:spacing w:after="0" w:line="261" w:lineRule="auto"/>
        <w:tabs>
          <w:tab w:leader="none" w:pos="4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5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disclosed in the SEC Reports,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9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disclosed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disclosed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9" w:name="page50"/>
    <w:bookmarkEnd w:id="49"/>
    <w:p>
      <w:pPr>
        <w:jc w:val="both"/>
        <w:ind w:left="-460" w:firstLine="644"/>
        <w:spacing w:after="0" w:line="253" w:lineRule="auto"/>
        <w:tabs>
          <w:tab w:leader="none" w:pos="44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3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83" w:lineRule="exact"/>
        <w:rPr>
          <w:sz w:val="20"/>
          <w:szCs w:val="20"/>
          <w:color w:val="auto"/>
        </w:rPr>
      </w:pPr>
    </w:p>
    <w:p>
      <w:pPr>
        <w:jc w:val="both"/>
        <w:ind w:left="-460" w:firstLine="644"/>
        <w:spacing w:after="0" w:line="252" w:lineRule="auto"/>
        <w:tabs>
          <w:tab w:leader="none" w:pos="51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thereof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0" w:name="page51"/>
    <w:bookmarkEnd w:id="50"/>
    <w:p>
      <w:pPr>
        <w:jc w:val="both"/>
        <w:ind w:left="-460" w:firstLine="644"/>
        <w:spacing w:after="0" w:line="255" w:lineRule="auto"/>
        <w:tabs>
          <w:tab w:leader="none" w:pos="53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applicable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1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1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1" w:name="page52"/>
    <w:bookmarkEnd w:id="51"/>
    <w:p>
      <w:pPr>
        <w:jc w:val="both"/>
        <w:ind w:left="4" w:firstLine="644"/>
        <w:spacing w:after="0" w:line="253" w:lineRule="auto"/>
        <w:tabs>
          <w:tab w:leader="none" w:pos="97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01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3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1" w:lineRule="exact"/>
        <w:rPr>
          <w:rFonts w:ascii="Times New Roman" w:cs="Times New Roman" w:eastAsia="Times New Roman" w:hAnsi="Times New Roman"/>
          <w:sz w:val="18"/>
          <w:szCs w:val="18"/>
          <w:color w:val="auto"/>
        </w:rPr>
      </w:pPr>
    </w:p>
    <w:p>
      <w:pPr>
        <w:ind w:left="984" w:hanging="336"/>
        <w:spacing w:after="0"/>
        <w:tabs>
          <w:tab w:leader="none" w:pos="98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1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To the Company’s knowledge,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except as would not, individually or in the aggregate for all such matters referred to in this clause (i), have a Material Adverse Effect;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commercially reasonable industry standards and practices.</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52" w:name="page53"/>
    <w:bookmarkEnd w:id="52"/>
    <w:p>
      <w:pPr>
        <w:jc w:val="both"/>
        <w:ind w:left="-460" w:firstLine="644"/>
        <w:spacing w:after="0" w:line="252" w:lineRule="auto"/>
        <w:tabs>
          <w:tab w:leader="none" w:pos="45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To the Company’s knowledge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except as would not, individually or in the aggregate for all such matters referred to in this clause (i), have a Material Adverse Effect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7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6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63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3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3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3" w:name="page54"/>
    <w:bookmarkEnd w:id="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380" w:firstLine="924"/>
        <w:spacing w:after="0" w:line="253" w:lineRule="auto"/>
        <w:tabs>
          <w:tab w:leader="none" w:pos="154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380" w:firstLine="924"/>
        <w:spacing w:after="0" w:line="261" w:lineRule="auto"/>
        <w:tabs>
          <w:tab w:leader="none" w:pos="156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79" w:lineRule="exact"/>
        <w:rPr>
          <w:rFonts w:ascii="Times New Roman" w:cs="Times New Roman" w:eastAsia="Times New Roman" w:hAnsi="Times New Roman"/>
          <w:sz w:val="18"/>
          <w:szCs w:val="18"/>
          <w:color w:val="auto"/>
        </w:rPr>
      </w:pPr>
    </w:p>
    <w:p>
      <w:pPr>
        <w:ind w:left="380" w:firstLine="924"/>
        <w:spacing w:after="0" w:line="282" w:lineRule="auto"/>
        <w:tabs>
          <w:tab w:leader="none" w:pos="154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 “accredited investor” as defined in Rule 501(a)(1), (a)(2), (a)(3), (a)(7), (a)(8), (a)(9), (a)(12), or (a)(13) under the Securities Act.</w:t>
      </w:r>
    </w:p>
    <w:p>
      <w:pPr>
        <w:spacing w:after="0" w:line="161" w:lineRule="exact"/>
        <w:rPr>
          <w:rFonts w:ascii="Times New Roman" w:cs="Times New Roman" w:eastAsia="Times New Roman" w:hAnsi="Times New Roman"/>
          <w:sz w:val="18"/>
          <w:szCs w:val="18"/>
          <w:color w:val="auto"/>
        </w:rPr>
      </w:pPr>
    </w:p>
    <w:p>
      <w:pPr>
        <w:jc w:val="both"/>
        <w:ind w:left="380" w:firstLine="924"/>
        <w:spacing w:after="0" w:line="261" w:lineRule="auto"/>
        <w:tabs>
          <w:tab w:leader="none" w:pos="15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both"/>
        <w:ind w:left="380" w:firstLine="924"/>
        <w:spacing w:after="0" w:line="253" w:lineRule="auto"/>
        <w:tabs>
          <w:tab w:leader="none" w:pos="154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89" w:lineRule="exact"/>
        <w:rPr>
          <w:rFonts w:ascii="Times New Roman" w:cs="Times New Roman" w:eastAsia="Times New Roman" w:hAnsi="Times New Roman"/>
          <w:sz w:val="18"/>
          <w:szCs w:val="18"/>
          <w:color w:val="auto"/>
        </w:rPr>
      </w:pPr>
    </w:p>
    <w:p>
      <w:pPr>
        <w:jc w:val="both"/>
        <w:ind w:left="380" w:firstLine="924"/>
        <w:spacing w:after="0" w:line="253" w:lineRule="auto"/>
        <w:tabs>
          <w:tab w:leader="none" w:pos="152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rFonts w:ascii="Times New Roman" w:cs="Times New Roman" w:eastAsia="Times New Roman" w:hAnsi="Times New Roman"/>
          <w:sz w:val="18"/>
          <w:szCs w:val="18"/>
          <w:color w:val="auto"/>
        </w:rPr>
      </w:pPr>
    </w:p>
    <w:p>
      <w:pPr>
        <w:ind w:left="380" w:firstLine="924"/>
        <w:spacing w:after="0" w:line="282" w:lineRule="auto"/>
        <w:tabs>
          <w:tab w:leader="none" w:pos="156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Advice. Each Purchaser understands that nothing in this Agreement or any other materials presented by or on behalf of the Company to the Purchaser in connection with the purchase of the Securities constitutes legal, tax or investment advice.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except as set forth in this Agreement, with respect to locating or borrowing shares in order to effect Short Sales or similar transactions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Shares shall be issued without restrictive legend.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no Purchaser owns any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made by a Purchaser Party in this Agreement or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commercially reasonable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material respects with the Company’s reporting, filing and other obligations under the bylaws or rules of the Trading Market. The Company agrees to use commercially reasonable efforts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Capital Changes</w:t>
      </w:r>
      <w:r>
        <w:rPr>
          <w:rFonts w:ascii="Times New Roman" w:cs="Times New Roman" w:eastAsia="Times New Roman" w:hAnsi="Times New Roman"/>
          <w:sz w:val="18"/>
          <w:szCs w:val="18"/>
          <w:color w:val="auto"/>
        </w:rPr>
        <w:t>. Until the one year anniversary of the Closing Date, the Company shall not undertake a reverse or forward stock split or reclassification of the Common Stock without the prior written consent of the Purchasers holding a majority in interest of the Shares other than a reverse stock split that is required, in the good faith determination of the Board of Directors, to maintain the listing of the Common Stock on the Trading Market.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attached 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58" w:lineRule="exact"/>
        <w:rPr>
          <w:sz w:val="20"/>
          <w:szCs w:val="20"/>
          <w:color w:val="auto"/>
        </w:rPr>
      </w:pPr>
    </w:p>
    <w:p>
      <w:pPr>
        <w:ind w:left="100"/>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GD CULTURE GROUP LIMITED</w:t>
      </w:r>
      <w:r>
        <w:rPr>
          <w:sz w:val="20"/>
          <w:szCs w:val="20"/>
          <w:color w:val="auto"/>
        </w:rPr>
        <w:tab/>
      </w:r>
      <w:r>
        <w:rPr>
          <w:rFonts w:ascii="Times New Roman" w:cs="Times New Roman" w:eastAsia="Times New Roman" w:hAnsi="Times New Roman"/>
          <w:sz w:val="17"/>
          <w:szCs w:val="17"/>
          <w:u w:val="single" w:color="auto"/>
          <w:color w:val="auto"/>
        </w:rPr>
        <w:t>Address for Notice:</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111 Town Square Place, Suite #1203</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Jersey City, NJ 07310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8890</wp:posOffset>
            </wp:positionV>
            <wp:extent cx="264858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Xiaojian Wang</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Attention: Xiaojian Wang</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Email:awang@gdculturegroup.com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[PURCHASER SIGNATURE PAGES TO GDC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w:t>
      </w:r>
    </w:p>
    <w:p>
      <w:pPr>
        <w:spacing w:after="0" w:line="225" w:lineRule="exact"/>
        <w:rPr>
          <w:sz w:val="20"/>
          <w:szCs w:val="20"/>
          <w:color w:val="auto"/>
        </w:rPr>
      </w:pPr>
    </w:p>
    <w:p>
      <w:pPr>
        <w:jc w:val="both"/>
        <w:ind w:firstLine="8"/>
        <w:spacing w:after="0" w:line="255" w:lineRule="auto"/>
        <w:tabs>
          <w:tab w:leader="none" w:pos="228" w:val="left"/>
        </w:tabs>
        <w:numPr>
          <w:ilvl w:val="0"/>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GD Culture Group Limited Announces Approximately $5.45 Million Registered Direct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Priced At-The-Market Under Nasdaq Rules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JERSEY CITY, N.J., June 24, 2026, /GLOBE NEWSWIRE/-- GD Culture Group Limited, a Nevada corporation (Nasdaq: GDC) (the “Company” or “GDC”), today announced that it has entered into definitive agreements with certain investors for the purchase and sale of 259,301,306 shares of common stock, par value $0.0001 per share (the “Shares”), at a purchase price of $0.021 per share in a registered direct offering (the “Offering”) priced at-the-market under Nasdaq rules.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gross proceeds to the Company of this offering are expected to be approximately $5.45 million. The transaction is expected to close on or about June 24, 2026, subject to the satisfaction of customary closing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Univest Securities, LLC is acting as the sole placement agent.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registered direct offering is being made pursuant to a shelf registration statement on Form S-3 (File No. 333-292934) previously filed by the Company with the U.S. Securities and Exchange Commission (“SEC”) on January 26, 2026 and became effective by on March 18, 2026. A final prospectus supplement and accompanying prospectus describing the terms of the proposed offering will be filed with the SEC and will be available on the SEC’s website located at http://www.sec.gov. Electronic copies of the final prospectus supplement and the accompanying prospectus may be obtained, when available, by contacting Univest Securities, LLC at info@univest.us, or by calling +1 (212) 343-8888.</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nor will there be any sales of such securities in any jurisdiction in which such offer, solicitation or sale would be unlawful prior to registration or qualification under the securities laws of such jurisdiction. Copies of the prospectus supplement relating to the registered direct offering, together with the accompanying base prospectus will be filed by the Company and, upon filing, can be obtained at the SEC’s website at www.sec.gov.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GD Culture Group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GD Culture Group Limited is a Nevada corporation and holding company. The Company is currently undergoing a strategic transition toward leveraging its artificial intelligence and virtual content generation technologies to enter the interactive reading and narrative entertainment market. The Company’s main businesses include AI-driven digital human technology. For more information, please visit the Company’s website at https://www.gdculturegroup.com/.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announcement are forward-looking statements.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in its other filings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ir@gdculturegroup.com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Ascent Investor Relations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Tina Xiao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+1-646-932-7242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investors@ascent-ir.com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 Receives Nasdaq Notification Regarding Minimum Bid Price Deficiency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JERSEY CITY, N.J., June 24, 2026 (GLOBE NEWSWIRE) -- GD Culture Group Limited (Nasdaq: GDC) (the “Company” or “GDC”) today announced that the Company had received a written notification letter (the “Notification Letter”) from the Nasdaq Stock Market LLC (“Nasdaq”) on June 22, 2026, notifying the Company that it is not in compliance with the minimum bid price requirement set forth in the Nasdaq Listing Rules 5550(a)(2) for continued listing on the Nasdaq.</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Nasdaq Listing Rule 5550(a)(2) requires listed securities to maintain a minimum bid price of US$1.00 per share, and Nasdaq Listing Rule 5810(c)(3)(A) provides that a failure to meet the minimum bid price requirement exists if the deficiency continues for a period of 30 consecutive business days. Based on the closing bid price of the Company’s common stock for the 30 consecutive business days from May 7, 2026 to June 18, 2026, the Company no longer meets the minimum bid price requirement.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Notification Letter does not impact the Company’s listing on the Nasdaq Capital Market at this time. In accordance with Nasdaq Listing Rule 5810(c) (3)(A), the Company has been provided 180 calendar days, or until December 21, 2026, to regain compliance with Nasdaq Listing Rule 5550(a)(2). To regain compliance, the Company’s common stock must have a closing bid price of at least US$1.00 for a minimum of 10 consecutive business days. In the event the Company does not regain compliance by December 21, 2026, the Company may be eligible for additional time to regain compliance or may face delisting. To qualify, the Company will be required to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such compliance period, including by effecting a reverse stock split, if necessary.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business operations are not currently affected by the receipt of the Notification Letter. The Company is monitoring the closing bid price of its common stock and may, if appropriate, consider implementing available options, including, but not limited to, implementing a reverse stock split of its outstanding common stock, to regain compliance with the minimum bid price requirement under the Nasdaq Listing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GD Culture Group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GD Culture Group Limited is a Nevada corporation and holding company. The Company is currently undergoing a strategic transition toward leveraging its artificial intelligence and virtual content generation technologies to enter the interactive reading and narrative entertainment market. The Company’s main businesses include AI-driven digital human technology. For more information, please visit the Company’s website at https://www.gdculturegroup.com/.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safe harbor provisions of the U.S. Private Securities Litigation Reform Act of 1995. Forward-looking statements include all statements that are not historical facts. Such statements may be, but need not be, identified by words such as “may,” “believe,” “anticipate,” “could,” “should,” “intend,” “plan,” “will,” “aim(s),” “can,” “would,” “expect(s),” “estimate(s),” “project(s),” “forecast(s),” “positioned,” “approximately,” “potential,” “goal,” “strategy,” “outlook” and similar expressions. Examples of forward-looking statements include, among other things, statements regarding assembly and distribution capabilities, decentralized production, and fully digitalized autonomous driving solutions. All such forward-looking statements are based on management’s current beliefs, expectations and assumptions, and are subject to risks, uncertainties and other factors that could cause actual results to differ materially from the results expressed or implied in this communication. For additional risks and uncertainties that could impact the Company’s forward-looking statements, please see disclosures contained in the Company’s public filings with the SEC, including the “Risk Factors” in the Company’s Annual Report on Form 10-K filed with the Securities and Exchange Commission on March 27, 2026 and subsequent Quarterly Reports on Form 10-Q that the Company has filed or may file with the SEC, which may be viewed at www.sec.gov. The Company undertakes no obligation to publicly revise these forward-looking statements to reflect events or circumstances that arise after the date 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ir@gdculturegroup.com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Ascent Investor Relations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Tina Xiao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+1-646-932-7242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investors@ascent-ir.com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decimal"/>
      <w:start w:val="104"/>
    </w:lvl>
  </w:abstractNum>
  <w:abstractNum w:abstractNumId="2">
    <w:nsid w:val="4516DDE9"/>
    <w:multiLevelType w:val="hybridMultilevel"/>
    <w:lvl w:ilvl="0">
      <w:lvlJc w:val="left"/>
      <w:lvlText w:val="(%1)"/>
      <w:numFmt w:val="lowerLetter"/>
      <w:start w:val="1"/>
    </w:lvl>
    <w:lvl w:ilvl="1">
      <w:lvlJc w:val="left"/>
      <w:lvlText w:val="(%2)"/>
      <w:numFmt w:val="lowerRoman"/>
      <w:start w:val="1"/>
    </w:lvl>
  </w:abstractNum>
  <w:abstractNum w:abstractNumId="3">
    <w:nsid w:val="3006C83E"/>
    <w:multiLevelType w:val="hybridMultilevel"/>
    <w:lvl w:ilvl="0">
      <w:lvlJc w:val="left"/>
      <w:lvlText w:val="(%1)"/>
      <w:numFmt w:val="lowerLetter"/>
      <w:start w:val="2"/>
    </w:lvl>
  </w:abstractNum>
  <w:abstractNum w:abstractNumId="4">
    <w:nsid w:val="614FD4A1"/>
    <w:multiLevelType w:val="hybridMultilevel"/>
    <w:lvl w:ilvl="0">
      <w:lvlJc w:val="left"/>
      <w:lvlText w:val="(%1)"/>
      <w:numFmt w:val="lowerLetter"/>
      <w:start w:val="1"/>
    </w:lvl>
  </w:abstractNum>
  <w:abstractNum w:abstractNumId="5">
    <w:nsid w:val="419AC241"/>
    <w:multiLevelType w:val="hybridMultilevel"/>
    <w:lvl w:ilvl="0">
      <w:lvlJc w:val="left"/>
      <w:lvlText w:val="(%1)"/>
      <w:numFmt w:val="lowerLetter"/>
      <w:start w:val="2"/>
    </w:lvl>
  </w:abstractNum>
  <w:abstractNum w:abstractNumId="6">
    <w:nsid w:val="5577F8E1"/>
    <w:multiLevelType w:val="hybridMultilevel"/>
    <w:lvl w:ilvl="0">
      <w:lvlJc w:val="left"/>
      <w:lvlText w:val="%1"/>
      <w:numFmt w:val="lowerLetter"/>
      <w:start w:val="1"/>
    </w:lvl>
    <w:lvl w:ilvl="1">
      <w:lvlJc w:val="left"/>
      <w:lvlText w:val="(%2)"/>
      <w:numFmt w:val="lowerLetter"/>
      <w:start w:val="6"/>
    </w:lvl>
  </w:abstractNum>
  <w:abstractNum w:abstractNumId="7">
    <w:nsid w:val="440BADFC"/>
    <w:multiLevelType w:val="hybridMultilevel"/>
    <w:lvl w:ilvl="0">
      <w:lvlJc w:val="left"/>
      <w:lvlText w:val="(%1)"/>
      <w:numFmt w:val="lowerLetter"/>
      <w:start w:val="61"/>
    </w:lvl>
    <w:lvl w:ilvl="1">
      <w:lvlJc w:val="left"/>
      <w:lvlText w:val="(%2)"/>
      <w:numFmt w:val="lowerLetter"/>
      <w:start w:val="8"/>
    </w:lvl>
  </w:abstractNum>
  <w:abstractNum w:abstractNumId="8">
    <w:nsid w:val="5072367"/>
    <w:multiLevelType w:val="hybridMultilevel"/>
    <w:lvl w:ilvl="0">
      <w:lvlJc w:val="left"/>
      <w:lvlText w:val="(%1)"/>
      <w:numFmt w:val="lowerLetter"/>
      <w:start w:val="9"/>
    </w:lvl>
  </w:abstractNum>
  <w:abstractNum w:abstractNumId="9">
    <w:nsid w:val="3804823E"/>
    <w:multiLevelType w:val="hybridMultilevel"/>
    <w:lvl w:ilvl="0">
      <w:lvlJc w:val="left"/>
      <w:lvlText w:val="(%1)"/>
      <w:numFmt w:val="lowerLetter"/>
      <w:start w:val="11"/>
    </w:lvl>
  </w:abstractNum>
  <w:abstractNum w:abstractNumId="10">
    <w:nsid w:val="77465F01"/>
    <w:multiLevelType w:val="hybridMultilevel"/>
    <w:lvl w:ilvl="0">
      <w:lvlJc w:val="left"/>
      <w:lvlText w:val="(%1)"/>
      <w:numFmt w:val="lowerLetter"/>
      <w:start w:val="12"/>
    </w:lvl>
  </w:abstractNum>
  <w:abstractNum w:abstractNumId="11">
    <w:nsid w:val="7724C67E"/>
    <w:multiLevelType w:val="hybridMultilevel"/>
    <w:lvl w:ilvl="0">
      <w:lvlJc w:val="left"/>
      <w:lvlText w:val="(%1)"/>
      <w:numFmt w:val="lowerLetter"/>
      <w:start w:val="14"/>
    </w:lvl>
  </w:abstractNum>
  <w:abstractNum w:abstractNumId="12">
    <w:nsid w:val="5C482A97"/>
    <w:multiLevelType w:val="hybridMultilevel"/>
    <w:lvl w:ilvl="0">
      <w:lvlJc w:val="left"/>
      <w:lvlText w:val="(%1)"/>
      <w:numFmt w:val="lowerLetter"/>
      <w:start w:val="17"/>
    </w:lvl>
  </w:abstractNum>
  <w:abstractNum w:abstractNumId="13">
    <w:nsid w:val="2463B9EA"/>
    <w:multiLevelType w:val="hybridMultilevel"/>
    <w:lvl w:ilvl="0">
      <w:lvlJc w:val="left"/>
      <w:lvlText w:val="(%1)"/>
      <w:numFmt w:val="lowerLetter"/>
      <w:start w:val="21"/>
    </w:lvl>
  </w:abstractNum>
  <w:abstractNum w:abstractNumId="14">
    <w:nsid w:val="5E884ADC"/>
    <w:multiLevelType w:val="hybridMultilevel"/>
    <w:lvl w:ilvl="0">
      <w:lvlJc w:val="left"/>
      <w:lvlText w:val="(%1)"/>
      <w:numFmt w:val="lowerLetter"/>
      <w:start w:val="25"/>
    </w:lvl>
  </w:abstractNum>
  <w:abstractNum w:abstractNumId="15">
    <w:nsid w:val="51EAD36B"/>
    <w:multiLevelType w:val="hybridMultilevel"/>
    <w:lvl w:ilvl="0">
      <w:lvlJc w:val="left"/>
      <w:lvlText w:val="(%1)"/>
      <w:numFmt w:val="lowerLetter"/>
      <w:start w:val="27"/>
    </w:lvl>
  </w:abstractNum>
  <w:abstractNum w:abstractNumId="16">
    <w:nsid w:val="2D517796"/>
    <w:multiLevelType w:val="hybridMultilevel"/>
    <w:lvl w:ilvl="0">
      <w:lvlJc w:val="left"/>
      <w:lvlText w:val="(%1)"/>
      <w:numFmt w:val="lowerLetter"/>
      <w:start w:val="29"/>
    </w:lvl>
  </w:abstractNum>
  <w:abstractNum w:abstractNumId="17">
    <w:nsid w:val="580BD78F"/>
    <w:multiLevelType w:val="hybridMultilevel"/>
    <w:lvl w:ilvl="0">
      <w:lvlJc w:val="left"/>
      <w:lvlText w:val="(%1)"/>
      <w:numFmt w:val="lowerLetter"/>
      <w:start w:val="32"/>
    </w:lvl>
  </w:abstractNum>
  <w:abstractNum w:abstractNumId="18">
    <w:nsid w:val="153EA438"/>
    <w:multiLevelType w:val="hybridMultilevel"/>
    <w:lvl w:ilvl="0">
      <w:lvlJc w:val="left"/>
      <w:lvlText w:val="(%1)"/>
      <w:numFmt w:val="lowerLetter"/>
      <w:start w:val="40"/>
    </w:lvl>
  </w:abstractNum>
  <w:abstractNum w:abstractNumId="19">
    <w:nsid w:val="3855585C"/>
    <w:multiLevelType w:val="hybridMultilevel"/>
    <w:lvl w:ilvl="0">
      <w:lvlJc w:val="left"/>
      <w:lvlText w:val="(%1)"/>
      <w:numFmt w:val="lowerLetter"/>
      <w:start w:val="47"/>
    </w:lvl>
  </w:abstractNum>
  <w:abstractNum w:abstractNumId="20">
    <w:nsid w:val="70A64E2A"/>
    <w:multiLevelType w:val="hybridMultilevel"/>
    <w:lvl w:ilvl="0">
      <w:lvlJc w:val="left"/>
      <w:lvlText w:val="(%1)"/>
      <w:numFmt w:val="lowerLetter"/>
      <w:start w:val="1"/>
    </w:lvl>
  </w:abstractNum>
  <w:abstractNum w:abstractNumId="21">
    <w:nsid w:val="6A2342EC"/>
    <w:multiLevelType w:val="hybridMultilevel"/>
    <w:lvl w:ilvl="0">
      <w:lvlJc w:val="left"/>
      <w:lvlText w:val="(%1)"/>
      <w:numFmt w:val="lowerLetter"/>
      <w:start w:val="2"/>
    </w:lvl>
  </w:abstractNum>
  <w:abstractNum w:abstractNumId="22">
    <w:nsid w:val="2A487CB0"/>
    <w:multiLevelType w:val="hybridMultilevel"/>
    <w:lvl w:ilvl="0">
      <w:lvlJc w:val="left"/>
      <w:lvlText w:val="(%1)"/>
      <w:numFmt w:val="lowerLetter"/>
      <w:start w:val="1"/>
    </w:lvl>
  </w:abstractNum>
  <w:abstractNum w:abstractNumId="23">
    <w:nsid w:val="1D4ED43B"/>
    <w:multiLevelType w:val="hybridMultilevel"/>
    <w:lvl w:ilvl="0">
      <w:lvlJc w:val="left"/>
      <w:lvlText w:val="(%1)"/>
      <w:numFmt w:val="lowerLetter"/>
      <w:start w:val="3"/>
    </w:lvl>
  </w:abstractNum>
  <w:abstractNum w:abstractNumId="24">
    <w:nsid w:val="725A06FB"/>
    <w:multiLevelType w:val="hybridMultilevel"/>
    <w:lvl w:ilvl="0">
      <w:lvlJc w:val="left"/>
      <w:lvlText w:val="(%1)"/>
      <w:numFmt w:val="lowerLetter"/>
      <w:start w:val="10"/>
    </w:lvl>
  </w:abstractNum>
  <w:abstractNum w:abstractNumId="25">
    <w:nsid w:val="2CD89A32"/>
    <w:multiLevelType w:val="hybridMultilevel"/>
    <w:lvl w:ilvl="0">
      <w:lvlJc w:val="left"/>
      <w:lvlText w:val="(%1)"/>
      <w:numFmt w:val="lowerLetter"/>
      <w:start w:val="16"/>
    </w:lvl>
    <w:lvl w:ilvl="1">
      <w:lvlJc w:val="left"/>
      <w:lvlText w:val="(%2)"/>
      <w:numFmt w:val="lowerRoman"/>
      <w:start w:val="1"/>
    </w:lvl>
  </w:abstractNum>
  <w:abstractNum w:abstractNumId="26">
    <w:nsid w:val="57E4CCAF"/>
    <w:multiLevelType w:val="hybridMultilevel"/>
    <w:lvl w:ilvl="0">
      <w:lvlJc w:val="left"/>
      <w:lvlText w:val="(%1)"/>
      <w:numFmt w:val="lowerLetter"/>
      <w:start w:val="19"/>
    </w:lvl>
  </w:abstractNum>
  <w:abstractNum w:abstractNumId="27">
    <w:nsid w:val="7A6D8D3C"/>
    <w:multiLevelType w:val="hybridMultilevel"/>
    <w:lvl w:ilvl="0">
      <w:lvlJc w:val="left"/>
      <w:lvlText w:val="(%1)"/>
      <w:numFmt w:val="lowerLetter"/>
      <w:start w:val="1"/>
    </w:lvl>
  </w:abstractNum>
  <w:abstractNum w:abstractNumId="28">
    <w:nsid w:val="4B588F54"/>
    <w:multiLevelType w:val="hybridMultilevel"/>
    <w:lvl w:ilvl="0">
      <w:lvlJc w:val="left"/>
      <w:lvlText w:val="(%1)"/>
      <w:numFmt w:val="lowerLetter"/>
      <w:start w:val="4"/>
    </w:lvl>
  </w:abstractNum>
  <w:abstractNum w:abstractNumId="29">
    <w:nsid w:val="542289EC"/>
    <w:multiLevelType w:val="hybridMultilevel"/>
    <w:lvl w:ilvl="0">
      <w:lvlJc w:val="left"/>
      <w:lvlText w:val="(%1)"/>
      <w:numFmt w:val="lowerLetter"/>
      <w:start w:val="6"/>
    </w:lvl>
    <w:lvl w:ilvl="1">
      <w:lvlJc w:val="left"/>
      <w:lvlText w:val="(%2)"/>
      <w:numFmt w:val="lowerRoman"/>
      <w:start w:val="1"/>
    </w:lvl>
  </w:abstractNum>
  <w:abstractNum w:abstractNumId="30">
    <w:nsid w:val="6DE91B18"/>
    <w:multiLevelType w:val="hybridMultilevel"/>
    <w:lvl w:ilvl="0">
      <w:lvlJc w:val="left"/>
      <w:lvlText w:val="%1"/>
      <w:numFmt w:val="lowerLetter"/>
      <w:start w:val="1"/>
    </w:lvl>
    <w:lvl w:ilvl="1">
      <w:lvlJc w:val="left"/>
      <w:lvlText w:val="(%2)"/>
      <w:numFmt w:val="lowerRoman"/>
      <w:start w:val="4"/>
    </w:lvl>
  </w:abstractNum>
  <w:abstractNum w:abstractNumId="31">
    <w:nsid w:val="38437FDB"/>
    <w:multiLevelType w:val="hybridMultilevel"/>
    <w:lvl w:ilvl="0">
      <w:lvlJc w:val="left"/>
      <w:lvlText w:val="(%1)"/>
      <w:numFmt w:val="lowerLetter"/>
      <w:start w:val="7"/>
    </w:lvl>
    <w:lvl w:ilvl="1">
      <w:lvlJc w:val="left"/>
      <w:lvlText w:val="%2"/>
      <w:numFmt w:val="lowerRoman"/>
      <w:start w:val="1"/>
    </w:lvl>
  </w:abstractNum>
  <w:abstractNum w:abstractNumId="32">
    <w:nsid w:val="7644A45C"/>
    <w:multiLevelType w:val="hybridMultilevel"/>
    <w:lvl w:ilvl="0">
      <w:lvlJc w:val="left"/>
      <w:lvlText w:val="(%1)"/>
      <w:numFmt w:val="lowerLetter"/>
      <w:start w:val="1"/>
    </w:lvl>
  </w:abstractNum>
  <w:abstractNum w:abstractNumId="33">
    <w:nsid w:val="32FFF902"/>
    <w:multiLevelType w:val="hybridMultilevel"/>
    <w:lvl w:ilvl="0">
      <w:lvlJc w:val="left"/>
      <w:lvlText w:val="(%1)"/>
      <w:numFmt w:val="lowerLetter"/>
      <w:start w:val="2"/>
    </w:lvl>
  </w:abstractNum>
  <w:abstractNum w:abstractNumId="34">
    <w:nsid w:val="684A481A"/>
    <w:multiLevelType w:val="hybridMultilevel"/>
    <w:lvl w:ilvl="0">
      <w:lvlJc w:val="left"/>
      <w:lvlText w:val="(%1)"/>
      <w:numFmt w:val="lowerLetter"/>
      <w:start w:val="5"/>
    </w:lvl>
  </w:abstractNum>
  <w:abstractNum w:abstractNumId="35">
    <w:nsid w:val="579478FE"/>
    <w:multiLevelType w:val="hybridMultilevel"/>
    <w:lvl w:ilvl="0">
      <w:lvlJc w:val="left"/>
      <w:lvlText w:val="(%1)"/>
      <w:numFmt w:val="lowerLetter"/>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1."/>
      <w:numFmt w:val="decimal"/>
      <w:start w:val="5"/>
    </w:lvl>
  </w:abstractNum>
  <w:abstractNum w:abstractNumId="38">
    <w:nsid w:val="1BA026FA"/>
    <w:multiLevelType w:val="hybridMultilevel"/>
    <w:lvl w:ilvl="0">
      <w:lvlJc w:val="left"/>
      <w:lvlText w:val="(%1)"/>
      <w:numFmt w:val="lowerLetter"/>
      <w:start w:val="1"/>
    </w:lvl>
    <w:lvl w:ilvl="1">
      <w:lvlJc w:val="left"/>
      <w:lvlText w:val="(%2)"/>
      <w:numFmt w:val="lowerRoman"/>
      <w:start w:val="1"/>
    </w:lvl>
  </w:abstractNum>
  <w:abstractNum w:abstractNumId="39">
    <w:nsid w:val="79A1DEAA"/>
    <w:multiLevelType w:val="hybridMultilevel"/>
    <w:lvl w:ilvl="0">
      <w:lvlJc w:val="left"/>
      <w:lvlText w:val="%1"/>
      <w:numFmt w:val="lowerLetter"/>
      <w:start w:val="1"/>
    </w:lvl>
    <w:lvl w:ilvl="1">
      <w:lvlJc w:val="left"/>
      <w:lvlText w:val="(%2)"/>
      <w:numFmt w:val="lowerRoman"/>
      <w:start w:val="4"/>
    </w:lvl>
  </w:abstractNum>
  <w:abstractNum w:abstractNumId="40">
    <w:nsid w:val="75C6C33A"/>
    <w:multiLevelType w:val="hybridMultilevel"/>
    <w:lvl w:ilvl="0">
      <w:lvlJc w:val="left"/>
      <w:lvlText w:val="(%1)"/>
      <w:numFmt w:val="lowerLetter"/>
      <w:start w:val="2"/>
    </w:lvl>
    <w:lvl w:ilvl="1">
      <w:lvlJc w:val="left"/>
      <w:lvlText w:val="(%2)"/>
      <w:numFmt w:val="lowerRoman"/>
      <w:start w:val="1"/>
    </w:lvl>
  </w:abstractNum>
  <w:abstractNum w:abstractNumId="41">
    <w:nsid w:val="12E685FB"/>
    <w:multiLevelType w:val="hybridMultilevel"/>
    <w:lvl w:ilvl="0">
      <w:lvlJc w:val="left"/>
      <w:lvlText w:val="(%1)"/>
      <w:numFmt w:val="lowerLetter"/>
      <w:start w:val="1"/>
    </w:lvl>
    <w:lvl w:ilvl="1">
      <w:lvlJc w:val="left"/>
      <w:lvlText w:val="(%2)"/>
      <w:numFmt w:val="lowerRoman"/>
      <w:start w:val="1"/>
    </w:lvl>
  </w:abstractNum>
  <w:abstractNum w:abstractNumId="42">
    <w:nsid w:val="70C6A529"/>
    <w:multiLevelType w:val="hybridMultilevel"/>
    <w:lvl w:ilvl="0">
      <w:lvlJc w:val="left"/>
      <w:lvlText w:val="%1"/>
      <w:numFmt w:val="lowerLetter"/>
      <w:start w:val="1"/>
    </w:lvl>
    <w:lvl w:ilvl="1">
      <w:lvlJc w:val="left"/>
      <w:lvlText w:val="(%2)"/>
      <w:numFmt w:val="lowerLetter"/>
      <w:start w:val="61"/>
    </w:lvl>
  </w:abstractNum>
  <w:abstractNum w:abstractNumId="43">
    <w:nsid w:val="520EEDD1"/>
    <w:multiLevelType w:val="hybridMultilevel"/>
    <w:lvl w:ilvl="0">
      <w:lvlJc w:val="left"/>
      <w:lvlText w:val="(%1)"/>
      <w:numFmt w:val="lowerLetter"/>
      <w:start w:val="2"/>
    </w:lvl>
    <w:lvl w:ilvl="1">
      <w:lvlJc w:val="left"/>
      <w:lvlText w:val="%2"/>
      <w:numFmt w:val="lowerLetter"/>
      <w:start w:val="1"/>
    </w:lvl>
  </w:abstractNum>
  <w:abstractNum w:abstractNumId="44">
    <w:nsid w:val="374A3FE6"/>
    <w:multiLevelType w:val="hybridMultilevel"/>
    <w:lvl w:ilvl="0">
      <w:lvlJc w:val="left"/>
      <w:lvlText w:val="(%1)"/>
      <w:numFmt w:val="lowerRoman"/>
      <w:start w:val="1"/>
    </w:lvl>
  </w:abstractNum>
  <w:abstractNum w:abstractNumId="45">
    <w:nsid w:val="4F4EF005"/>
    <w:multiLevelType w:val="hybridMultilevel"/>
    <w:lvl w:ilvl="0">
      <w:lvlJc w:val="left"/>
      <w:lvlText w:val="(%1)"/>
      <w:numFmt w:val="lowerLetter"/>
      <w:start w:val="1"/>
    </w:lvl>
  </w:abstractNum>
  <w:abstractNum w:abstractNumId="46">
    <w:nsid w:val="23F9C13C"/>
    <w:multiLevelType w:val="hybridMultilevel"/>
    <w:lvl w:ilvl="0">
      <w:lvlJc w:val="left"/>
      <w:lvlText w:val="(%1)"/>
      <w:numFmt w:val="lowerLetter"/>
      <w:start w:val="2"/>
    </w:lvl>
  </w:abstractNum>
  <w:abstractNum w:abstractNumId="47">
    <w:nsid w:val="649BB77C"/>
    <w:multiLevelType w:val="hybridMultilevel"/>
    <w:lvl w:ilvl="0">
      <w:lvlJc w:val="left"/>
      <w:lvlText w:val="(%1)"/>
      <w:numFmt w:val="lowerLetter"/>
      <w:start w:val="4"/>
    </w:lvl>
  </w:abstractNum>
  <w:abstractNum w:abstractNumId="48">
    <w:nsid w:val="275AC794"/>
    <w:multiLevelType w:val="hybridMultilevel"/>
    <w:lvl w:ilvl="0">
      <w:lvlJc w:val="left"/>
      <w:lvlText w:val="(%1)"/>
      <w:numFmt w:val="lowerLetter"/>
      <w:start w:val="7"/>
    </w:lvl>
  </w:abstractNum>
  <w:abstractNum w:abstractNumId="49">
    <w:nsid w:val="39386575"/>
    <w:multiLevelType w:val="hybridMultilevel"/>
    <w:lvl w:ilvl="0">
      <w:lvlJc w:val="left"/>
      <w:lvlText w:val="(%1)"/>
      <w:numFmt w:val="lowerLetter"/>
      <w:start w:val="9"/>
    </w:lvl>
  </w:abstractNum>
  <w:abstractNum w:abstractNumId="50">
    <w:nsid w:val="1CF10FD8"/>
    <w:multiLevelType w:val="hybridMultilevel"/>
    <w:lvl w:ilvl="0">
      <w:lvlJc w:val="left"/>
      <w:lvlText w:val="(%1)"/>
      <w:numFmt w:val="lowerLetter"/>
      <w:start w:val="12"/>
    </w:lvl>
  </w:abstractNum>
  <w:abstractNum w:abstractNumId="51">
    <w:nsid w:val="180115BE"/>
    <w:multiLevelType w:val="hybridMultilevel"/>
    <w:lvl w:ilvl="0">
      <w:lvlJc w:val="left"/>
      <w:lvlText w:val="(%1)"/>
      <w:numFmt w:val="lowerLetter"/>
      <w:start w:val="16"/>
    </w:lvl>
  </w:abstractNum>
  <w:abstractNum w:abstractNumId="52">
    <w:nsid w:val="235BA861"/>
    <w:multiLevelType w:val="hybridMultilevel"/>
    <w:lvl w:ilvl="0">
      <w:lvlJc w:val="left"/>
      <w:lvlText w:val="(%1)"/>
      <w:numFmt w:val="lowerLetter"/>
      <w:start w:val="19"/>
    </w:lvl>
  </w:abstractNum>
  <w:abstractNum w:abstractNumId="53">
    <w:nsid w:val="47398C89"/>
    <w:multiLevelType w:val="hybridMultilevel"/>
    <w:lvl w:ilvl="0">
      <w:lvlJc w:val="left"/>
      <w:lvlText w:val="(%1)"/>
      <w:numFmt w:val="lowerLetter"/>
      <w:start w:val="21"/>
    </w:lvl>
  </w:abstractNum>
  <w:abstractNum w:abstractNumId="54">
    <w:nsid w:val="354FE9F9"/>
    <w:multiLevelType w:val="hybridMultilevel"/>
    <w:lvl w:ilvl="0">
      <w:lvlJc w:val="left"/>
      <w:lvlText w:val="(%1)"/>
      <w:numFmt w:val="lowerLetter"/>
      <w:start w:val="25"/>
    </w:lvl>
  </w:abstractNum>
  <w:abstractNum w:abstractNumId="55">
    <w:nsid w:val="15B5AF5C"/>
    <w:multiLevelType w:val="hybridMultilevel"/>
    <w:lvl w:ilvl="0">
      <w:lvlJc w:val="left"/>
      <w:lvlText w:val="(%1)"/>
      <w:numFmt w:val="lowerLetter"/>
      <w:start w:val="27"/>
    </w:lvl>
  </w:abstractNum>
  <w:abstractNum w:abstractNumId="56">
    <w:nsid w:val="741226BB"/>
    <w:multiLevelType w:val="hybridMultilevel"/>
    <w:lvl w:ilvl="0">
      <w:lvlJc w:val="left"/>
      <w:lvlText w:val="(%1)"/>
      <w:numFmt w:val="lowerLetter"/>
      <w:start w:val="28"/>
    </w:lvl>
  </w:abstractNum>
  <w:abstractNum w:abstractNumId="57">
    <w:nsid w:val="D34B6A8"/>
    <w:multiLevelType w:val="hybridMultilevel"/>
    <w:lvl w:ilvl="0">
      <w:lvlJc w:val="left"/>
      <w:lvlText w:val="%1"/>
      <w:numFmt w:val="lowerLetter"/>
      <w:start w:val="1"/>
    </w:lvl>
    <w:lvl w:ilvl="1">
      <w:lvlJc w:val="left"/>
      <w:lvlText w:val="(%2)"/>
      <w:numFmt w:val="lowerLetter"/>
      <w:start w:val="32"/>
    </w:lvl>
  </w:abstractNum>
  <w:abstractNum w:abstractNumId="58">
    <w:nsid w:val="10233C99"/>
    <w:multiLevelType w:val="hybridMultilevel"/>
    <w:lvl w:ilvl="0">
      <w:lvlJc w:val="left"/>
      <w:lvlText w:val="(%1)"/>
      <w:numFmt w:val="lowerLetter"/>
      <w:start w:val="61"/>
    </w:lvl>
    <w:lvl w:ilvl="1">
      <w:lvlJc w:val="left"/>
      <w:lvlText w:val="(%2)"/>
      <w:numFmt w:val="lowerLetter"/>
      <w:start w:val="34"/>
    </w:lvl>
  </w:abstractNum>
  <w:abstractNum w:abstractNumId="59">
    <w:nsid w:val="3F6AB60F"/>
    <w:multiLevelType w:val="hybridMultilevel"/>
    <w:lvl w:ilvl="0">
      <w:lvlJc w:val="left"/>
      <w:lvlText w:val="(%1)"/>
      <w:numFmt w:val="lowerLetter"/>
      <w:start w:val="36"/>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lowerLetter"/>
      <w:start w:val="5"/>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2026-06-24T16:56:29Z</dcterms:created>
  <dcterms:modified xsi:type="dcterms:W3CDTF">2026-06-24T16:56:29Z</dcterms:modified>
</cp:coreProperties>
</file>